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color w:val="auto"/>
          <w:highlight w:val="none"/>
        </w:rPr>
      </w:pPr>
    </w:p>
    <w:p>
      <w:pPr>
        <w:spacing w:line="360" w:lineRule="auto"/>
        <w:rPr>
          <w:rFonts w:hint="eastAsia"/>
          <w:color w:val="auto"/>
          <w:highlight w:val="none"/>
        </w:rPr>
      </w:pPr>
    </w:p>
    <w:p>
      <w:pPr>
        <w:spacing w:line="360" w:lineRule="auto"/>
        <w:rPr>
          <w:rFonts w:hint="eastAsia"/>
          <w:color w:val="auto"/>
          <w:highlight w:val="none"/>
        </w:rPr>
      </w:pPr>
    </w:p>
    <w:p>
      <w:pPr>
        <w:spacing w:line="360" w:lineRule="auto"/>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滦平县公安局枪弹柜智能化改造项目</w:t>
      </w:r>
    </w:p>
    <w:p>
      <w:pPr>
        <w:jc w:val="center"/>
        <w:rPr>
          <w:rFonts w:hint="eastAsia" w:ascii="宋体" w:hAnsi="宋体"/>
          <w:b/>
          <w:color w:val="auto"/>
          <w:spacing w:val="12"/>
          <w:sz w:val="44"/>
          <w:szCs w:val="44"/>
          <w:highlight w:val="none"/>
        </w:rPr>
      </w:pPr>
    </w:p>
    <w:p>
      <w:pPr>
        <w:jc w:val="center"/>
        <w:rPr>
          <w:rFonts w:hint="eastAsia" w:ascii="宋体" w:hAnsi="宋体"/>
          <w:b/>
          <w:color w:val="auto"/>
          <w:spacing w:val="12"/>
          <w:sz w:val="44"/>
          <w:szCs w:val="44"/>
          <w:highlight w:val="none"/>
        </w:rPr>
      </w:pPr>
    </w:p>
    <w:p>
      <w:pPr>
        <w:jc w:val="center"/>
        <w:rPr>
          <w:rFonts w:hint="eastAsia" w:ascii="宋体" w:hAnsi="宋体"/>
          <w:b/>
          <w:color w:val="auto"/>
          <w:spacing w:val="12"/>
          <w:sz w:val="72"/>
          <w:szCs w:val="72"/>
          <w:highlight w:val="none"/>
        </w:rPr>
      </w:pPr>
    </w:p>
    <w:p>
      <w:pPr>
        <w:jc w:val="center"/>
        <w:rPr>
          <w:rFonts w:hint="eastAsia" w:ascii="宋体" w:hAnsi="宋体"/>
          <w:b/>
          <w:color w:val="auto"/>
          <w:spacing w:val="12"/>
          <w:sz w:val="72"/>
          <w:szCs w:val="72"/>
          <w:highlight w:val="none"/>
        </w:rPr>
      </w:pPr>
      <w:r>
        <w:rPr>
          <w:rFonts w:hint="eastAsia" w:ascii="宋体" w:hAnsi="宋体"/>
          <w:b/>
          <w:color w:val="auto"/>
          <w:spacing w:val="12"/>
          <w:sz w:val="72"/>
          <w:szCs w:val="72"/>
          <w:highlight w:val="none"/>
        </w:rPr>
        <w:t>招 标 文 件</w:t>
      </w:r>
    </w:p>
    <w:p>
      <w:pPr>
        <w:jc w:val="center"/>
        <w:rPr>
          <w:rFonts w:hint="eastAsia" w:ascii="宋体" w:hAnsi="宋体" w:eastAsia="宋体"/>
          <w:b/>
          <w:color w:val="auto"/>
          <w:spacing w:val="12"/>
          <w:sz w:val="32"/>
          <w:highlight w:val="none"/>
          <w:lang w:eastAsia="zh-CN"/>
        </w:rPr>
      </w:pPr>
    </w:p>
    <w:p>
      <w:pPr>
        <w:jc w:val="center"/>
        <w:rPr>
          <w:rFonts w:hint="eastAsia" w:ascii="宋体" w:hAnsi="宋体" w:eastAsia="宋体"/>
          <w:b/>
          <w:color w:val="auto"/>
          <w:spacing w:val="12"/>
          <w:sz w:val="32"/>
          <w:highlight w:val="none"/>
          <w:lang w:eastAsia="zh-CN"/>
        </w:rPr>
      </w:pPr>
    </w:p>
    <w:p>
      <w:pPr>
        <w:jc w:val="center"/>
        <w:rPr>
          <w:rFonts w:hint="eastAsia" w:ascii="宋体" w:hAnsi="宋体" w:eastAsia="宋体"/>
          <w:b/>
          <w:color w:val="auto"/>
          <w:spacing w:val="12"/>
          <w:sz w:val="32"/>
          <w:highlight w:val="none"/>
          <w:lang w:eastAsia="zh-CN"/>
        </w:rPr>
      </w:pPr>
    </w:p>
    <w:p>
      <w:pPr>
        <w:jc w:val="center"/>
        <w:rPr>
          <w:rFonts w:hint="eastAsia" w:ascii="宋体" w:hAnsi="宋体" w:eastAsia="宋体"/>
          <w:b/>
          <w:color w:val="auto"/>
          <w:spacing w:val="12"/>
          <w:sz w:val="32"/>
          <w:highlight w:val="none"/>
          <w:lang w:eastAsia="zh-CN"/>
        </w:rPr>
      </w:pPr>
    </w:p>
    <w:p>
      <w:pPr>
        <w:jc w:val="center"/>
        <w:rPr>
          <w:rFonts w:hint="eastAsia" w:ascii="宋体" w:hAnsi="宋体" w:eastAsia="宋体"/>
          <w:b/>
          <w:color w:val="auto"/>
          <w:spacing w:val="12"/>
          <w:sz w:val="32"/>
          <w:highlight w:val="none"/>
          <w:lang w:eastAsia="zh-CN"/>
        </w:rPr>
      </w:pPr>
    </w:p>
    <w:p>
      <w:pPr>
        <w:jc w:val="center"/>
        <w:rPr>
          <w:rFonts w:hint="eastAsia" w:ascii="宋体" w:hAnsi="宋体" w:eastAsia="宋体"/>
          <w:b/>
          <w:color w:val="auto"/>
          <w:spacing w:val="12"/>
          <w:sz w:val="32"/>
          <w:highlight w:val="none"/>
          <w:lang w:eastAsia="zh-CN"/>
        </w:rPr>
      </w:pPr>
    </w:p>
    <w:p>
      <w:pPr>
        <w:jc w:val="center"/>
        <w:rPr>
          <w:rFonts w:hint="eastAsia" w:ascii="宋体" w:hAnsi="宋体" w:eastAsia="宋体"/>
          <w:b/>
          <w:color w:val="auto"/>
          <w:spacing w:val="12"/>
          <w:sz w:val="32"/>
          <w:highlight w:val="none"/>
          <w:lang w:eastAsia="zh-CN"/>
        </w:rPr>
      </w:pPr>
    </w:p>
    <w:p>
      <w:pPr>
        <w:jc w:val="center"/>
        <w:rPr>
          <w:rFonts w:hint="eastAsia" w:ascii="宋体" w:hAnsi="宋体"/>
          <w:b/>
          <w:color w:val="auto"/>
          <w:spacing w:val="12"/>
          <w:sz w:val="32"/>
          <w:highlight w:val="none"/>
        </w:rPr>
      </w:pPr>
    </w:p>
    <w:p>
      <w:pPr>
        <w:jc w:val="center"/>
        <w:rPr>
          <w:rFonts w:hint="eastAsia" w:ascii="宋体" w:hAnsi="宋体"/>
          <w:b/>
          <w:color w:val="auto"/>
          <w:spacing w:val="12"/>
          <w:sz w:val="32"/>
          <w:highlight w:val="none"/>
        </w:rPr>
      </w:pPr>
    </w:p>
    <w:p>
      <w:pPr>
        <w:spacing w:line="360" w:lineRule="auto"/>
        <w:ind w:firstLine="1156" w:firstLineChars="300"/>
        <w:rPr>
          <w:rFonts w:hint="default" w:ascii="宋体" w:hAnsi="宋体" w:eastAsia="宋体"/>
          <w:b/>
          <w:color w:val="auto"/>
          <w:spacing w:val="12"/>
          <w:sz w:val="36"/>
          <w:szCs w:val="36"/>
          <w:highlight w:val="none"/>
          <w:lang w:val="en-US" w:eastAsia="zh-CN"/>
        </w:rPr>
      </w:pPr>
      <w:r>
        <w:rPr>
          <w:rFonts w:hint="eastAsia" w:ascii="宋体" w:hAnsi="宋体"/>
          <w:b/>
          <w:color w:val="auto"/>
          <w:spacing w:val="12"/>
          <w:sz w:val="36"/>
          <w:szCs w:val="36"/>
          <w:highlight w:val="none"/>
        </w:rPr>
        <w:t>招标文件编号：</w:t>
      </w:r>
      <w:r>
        <w:rPr>
          <w:rFonts w:hint="eastAsia" w:ascii="宋体" w:hAnsi="宋体"/>
          <w:b/>
          <w:color w:val="auto"/>
          <w:spacing w:val="12"/>
          <w:sz w:val="36"/>
          <w:szCs w:val="36"/>
          <w:highlight w:val="none"/>
          <w:lang w:val="en-US" w:eastAsia="zh-CN"/>
        </w:rPr>
        <w:t>CDJBK202311068</w:t>
      </w:r>
    </w:p>
    <w:p>
      <w:pPr>
        <w:spacing w:line="360" w:lineRule="auto"/>
        <w:ind w:firstLine="1156" w:firstLineChars="300"/>
        <w:jc w:val="left"/>
        <w:rPr>
          <w:rFonts w:hint="eastAsia" w:ascii="宋体" w:hAnsi="宋体" w:eastAsia="宋体"/>
          <w:b/>
          <w:bCs/>
          <w:color w:val="auto"/>
          <w:spacing w:val="12"/>
          <w:sz w:val="36"/>
          <w:szCs w:val="36"/>
          <w:highlight w:val="none"/>
          <w:lang w:eastAsia="zh-CN"/>
        </w:rPr>
      </w:pPr>
      <w:r>
        <w:rPr>
          <w:rFonts w:hint="eastAsia" w:ascii="宋体" w:hAnsi="宋体"/>
          <w:b/>
          <w:bCs/>
          <w:color w:val="auto"/>
          <w:spacing w:val="12"/>
          <w:sz w:val="36"/>
          <w:szCs w:val="36"/>
          <w:highlight w:val="none"/>
        </w:rPr>
        <w:t>采 购 人：</w:t>
      </w:r>
      <w:r>
        <w:rPr>
          <w:rFonts w:hint="eastAsia" w:ascii="宋体" w:hAnsi="宋体"/>
          <w:b/>
          <w:bCs/>
          <w:color w:val="auto"/>
          <w:spacing w:val="12"/>
          <w:sz w:val="36"/>
          <w:szCs w:val="36"/>
          <w:highlight w:val="none"/>
          <w:lang w:eastAsia="zh-CN"/>
        </w:rPr>
        <w:t>滦平县公安局</w:t>
      </w:r>
    </w:p>
    <w:p>
      <w:pPr>
        <w:spacing w:line="360" w:lineRule="auto"/>
        <w:ind w:firstLine="1156" w:firstLineChars="300"/>
        <w:outlineLvl w:val="0"/>
        <w:rPr>
          <w:rFonts w:hint="eastAsia" w:ascii="宋体" w:hAnsi="宋体" w:eastAsia="宋体"/>
          <w:b/>
          <w:bCs/>
          <w:color w:val="auto"/>
          <w:spacing w:val="12"/>
          <w:sz w:val="36"/>
          <w:szCs w:val="36"/>
          <w:highlight w:val="none"/>
          <w:lang w:eastAsia="zh-CN"/>
        </w:rPr>
      </w:pPr>
      <w:bookmarkStart w:id="0" w:name="_Toc24868"/>
      <w:bookmarkStart w:id="1" w:name="_Toc3410"/>
      <w:bookmarkStart w:id="2" w:name="_Toc5163"/>
      <w:r>
        <w:rPr>
          <w:rFonts w:hint="eastAsia" w:ascii="宋体" w:hAnsi="宋体"/>
          <w:b/>
          <w:bCs/>
          <w:color w:val="auto"/>
          <w:spacing w:val="12"/>
          <w:sz w:val="36"/>
          <w:szCs w:val="36"/>
          <w:highlight w:val="none"/>
        </w:rPr>
        <w:t>代理机构：</w:t>
      </w:r>
      <w:bookmarkEnd w:id="0"/>
      <w:bookmarkEnd w:id="1"/>
      <w:bookmarkEnd w:id="2"/>
      <w:r>
        <w:rPr>
          <w:rFonts w:hint="eastAsia" w:hAnsi="宋体"/>
          <w:b/>
          <w:bCs/>
          <w:color w:val="auto"/>
          <w:sz w:val="36"/>
          <w:szCs w:val="36"/>
          <w:highlight w:val="none"/>
          <w:lang w:eastAsia="zh-CN"/>
        </w:rPr>
        <w:t>承德金贝壳建设项目管理有限公司</w:t>
      </w:r>
    </w:p>
    <w:p>
      <w:pPr>
        <w:spacing w:line="360" w:lineRule="auto"/>
        <w:jc w:val="center"/>
        <w:rPr>
          <w:rFonts w:hint="eastAsia" w:ascii="宋体" w:hAnsi="宋体"/>
          <w:b/>
          <w:color w:val="auto"/>
          <w:spacing w:val="12"/>
          <w:sz w:val="36"/>
          <w:szCs w:val="36"/>
          <w:highlight w:val="none"/>
        </w:rPr>
      </w:pPr>
      <w:r>
        <w:rPr>
          <w:rFonts w:hint="eastAsia" w:ascii="宋体" w:hAnsi="宋体"/>
          <w:b/>
          <w:color w:val="auto"/>
          <w:spacing w:val="12"/>
          <w:sz w:val="36"/>
          <w:szCs w:val="36"/>
          <w:highlight w:val="none"/>
        </w:rPr>
        <w:t>二〇</w:t>
      </w:r>
      <w:r>
        <w:rPr>
          <w:rFonts w:hint="eastAsia" w:ascii="宋体" w:hAnsi="宋体"/>
          <w:b/>
          <w:color w:val="auto"/>
          <w:spacing w:val="12"/>
          <w:sz w:val="36"/>
          <w:szCs w:val="36"/>
          <w:highlight w:val="none"/>
          <w:lang w:val="en-US" w:eastAsia="zh-CN"/>
        </w:rPr>
        <w:t>二三</w:t>
      </w:r>
      <w:r>
        <w:rPr>
          <w:rFonts w:hint="eastAsia" w:ascii="宋体" w:hAnsi="宋体"/>
          <w:b/>
          <w:color w:val="auto"/>
          <w:spacing w:val="12"/>
          <w:sz w:val="36"/>
          <w:szCs w:val="36"/>
          <w:highlight w:val="none"/>
        </w:rPr>
        <w:t>年</w:t>
      </w:r>
      <w:r>
        <w:rPr>
          <w:rFonts w:hint="eastAsia" w:ascii="宋体" w:hAnsi="宋体"/>
          <w:b/>
          <w:color w:val="auto"/>
          <w:spacing w:val="12"/>
          <w:sz w:val="36"/>
          <w:szCs w:val="36"/>
          <w:highlight w:val="none"/>
          <w:lang w:val="en-US" w:eastAsia="zh-CN"/>
        </w:rPr>
        <w:t>十一</w:t>
      </w:r>
      <w:r>
        <w:rPr>
          <w:rFonts w:hint="eastAsia" w:ascii="宋体" w:hAnsi="宋体"/>
          <w:b/>
          <w:color w:val="auto"/>
          <w:spacing w:val="12"/>
          <w:sz w:val="36"/>
          <w:szCs w:val="36"/>
          <w:highlight w:val="none"/>
        </w:rPr>
        <w:t>月</w:t>
      </w:r>
    </w:p>
    <w:p>
      <w:pPr>
        <w:pStyle w:val="2"/>
        <w:rPr>
          <w:rFonts w:hint="eastAsia"/>
          <w:color w:val="auto"/>
          <w:highlight w:val="none"/>
        </w:rPr>
        <w:sectPr>
          <w:pgSz w:w="11906" w:h="16838"/>
          <w:pgMar w:top="1418" w:right="1304" w:bottom="1418" w:left="1588" w:header="851" w:footer="851" w:gutter="0"/>
          <w:pgNumType w:fmt="numberInDash" w:start="1"/>
          <w:cols w:space="720" w:num="1"/>
          <w:docGrid w:linePitch="312" w:charSpace="0"/>
        </w:sectPr>
      </w:pPr>
    </w:p>
    <w:p>
      <w:pPr>
        <w:pStyle w:val="3"/>
        <w:rPr>
          <w:rFonts w:hint="eastAsia"/>
          <w:highlight w:val="none"/>
        </w:rPr>
      </w:pPr>
    </w:p>
    <w:p>
      <w:pPr>
        <w:spacing w:line="500" w:lineRule="exact"/>
        <w:jc w:val="center"/>
        <w:rPr>
          <w:rFonts w:hint="eastAsia" w:ascii="宋体" w:hAnsi="宋体"/>
          <w:b/>
          <w:color w:val="auto"/>
          <w:spacing w:val="12"/>
          <w:sz w:val="36"/>
          <w:highlight w:val="none"/>
        </w:rPr>
      </w:pPr>
      <w:r>
        <w:rPr>
          <w:rFonts w:hint="eastAsia" w:ascii="宋体" w:hAnsi="宋体"/>
          <w:b/>
          <w:color w:val="auto"/>
          <w:spacing w:val="12"/>
          <w:sz w:val="36"/>
          <w:highlight w:val="none"/>
        </w:rPr>
        <w:t>目</w:t>
      </w:r>
      <w:r>
        <w:rPr>
          <w:rFonts w:ascii="宋体" w:hAnsi="宋体"/>
          <w:b/>
          <w:color w:val="auto"/>
          <w:spacing w:val="12"/>
          <w:sz w:val="36"/>
          <w:highlight w:val="none"/>
        </w:rPr>
        <w:t xml:space="preserve">  </w:t>
      </w:r>
      <w:r>
        <w:rPr>
          <w:rFonts w:hint="eastAsia" w:ascii="宋体" w:hAnsi="宋体"/>
          <w:b/>
          <w:color w:val="auto"/>
          <w:spacing w:val="12"/>
          <w:sz w:val="36"/>
          <w:highlight w:val="none"/>
        </w:rPr>
        <w:t>录</w:t>
      </w:r>
    </w:p>
    <w:sdt>
      <w:sdtPr>
        <w:rPr>
          <w:rFonts w:ascii="宋体" w:hAnsi="宋体" w:eastAsia="宋体" w:cs="Times New Roman"/>
          <w:color w:val="auto"/>
          <w:kern w:val="2"/>
          <w:sz w:val="21"/>
          <w:highlight w:val="none"/>
          <w:lang w:val="en-US" w:eastAsia="zh-CN" w:bidi="ar-SA"/>
        </w:rPr>
        <w:id w:val="147468707"/>
        <w15:color w:val="DBDBDB"/>
        <w:docPartObj>
          <w:docPartGallery w:val="Table of Contents"/>
          <w:docPartUnique/>
        </w:docPartObj>
      </w:sdtPr>
      <w:sdtEndPr>
        <w:rPr>
          <w:rFonts w:hint="eastAsia" w:ascii="宋体" w:hAnsi="宋体" w:eastAsia="宋体" w:cs="Times New Roman"/>
          <w:b/>
          <w:bCs/>
          <w:color w:val="auto"/>
          <w:kern w:val="44"/>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24"/>
            <w:tabs>
              <w:tab w:val="right" w:leader="dot" w:pos="9014"/>
              <w:tab w:val="clear" w:pos="1200"/>
              <w:tab w:val="clear" w:pos="8296"/>
            </w:tabs>
            <w:spacing w:line="36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_Toc22259 </w:instrText>
          </w:r>
          <w:r>
            <w:rPr>
              <w:rFonts w:hint="eastAsia" w:ascii="宋体" w:hAnsi="宋体" w:eastAsia="宋体" w:cs="宋体"/>
              <w:sz w:val="28"/>
              <w:szCs w:val="28"/>
              <w:highlight w:val="none"/>
            </w:rPr>
            <w:fldChar w:fldCharType="separate"/>
          </w:r>
          <w:r>
            <w:rPr>
              <w:rFonts w:hint="eastAsia"/>
              <w:sz w:val="28"/>
              <w:szCs w:val="28"/>
              <w:highlight w:val="none"/>
            </w:rPr>
            <w:t>第一部分  招标公告</w:t>
          </w:r>
          <w:r>
            <w:rPr>
              <w:sz w:val="28"/>
              <w:szCs w:val="28"/>
              <w:highlight w:val="none"/>
            </w:rPr>
            <w:tab/>
          </w:r>
          <w:r>
            <w:rPr>
              <w:sz w:val="28"/>
              <w:szCs w:val="28"/>
              <w:highlight w:val="none"/>
            </w:rPr>
            <w:fldChar w:fldCharType="begin"/>
          </w:r>
          <w:r>
            <w:rPr>
              <w:sz w:val="28"/>
              <w:szCs w:val="28"/>
              <w:highlight w:val="none"/>
            </w:rPr>
            <w:instrText xml:space="preserve"> PAGEREF _Toc22259 \h </w:instrText>
          </w:r>
          <w:r>
            <w:rPr>
              <w:sz w:val="28"/>
              <w:szCs w:val="28"/>
              <w:highlight w:val="none"/>
            </w:rPr>
            <w:fldChar w:fldCharType="separate"/>
          </w:r>
          <w:r>
            <w:rPr>
              <w:sz w:val="28"/>
              <w:szCs w:val="28"/>
              <w:highlight w:val="none"/>
            </w:rPr>
            <w:t>- 1 -</w:t>
          </w:r>
          <w:r>
            <w:rPr>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tabs>
              <w:tab w:val="right" w:leader="dot" w:pos="9014"/>
              <w:tab w:val="clear" w:pos="1200"/>
              <w:tab w:val="clear" w:pos="8296"/>
            </w:tabs>
            <w:spacing w:line="36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_Toc15009 </w:instrText>
          </w:r>
          <w:r>
            <w:rPr>
              <w:rFonts w:hint="eastAsia" w:ascii="宋体" w:hAnsi="宋体" w:eastAsia="宋体" w:cs="宋体"/>
              <w:sz w:val="28"/>
              <w:szCs w:val="28"/>
              <w:highlight w:val="none"/>
            </w:rPr>
            <w:fldChar w:fldCharType="separate"/>
          </w:r>
          <w:r>
            <w:rPr>
              <w:rFonts w:hint="eastAsia"/>
              <w:sz w:val="28"/>
              <w:szCs w:val="28"/>
              <w:highlight w:val="none"/>
            </w:rPr>
            <w:t>第二部分  投标须知及前附表</w:t>
          </w:r>
          <w:r>
            <w:rPr>
              <w:sz w:val="28"/>
              <w:szCs w:val="28"/>
              <w:highlight w:val="none"/>
            </w:rPr>
            <w:tab/>
          </w:r>
          <w:r>
            <w:rPr>
              <w:sz w:val="28"/>
              <w:szCs w:val="28"/>
              <w:highlight w:val="none"/>
            </w:rPr>
            <w:fldChar w:fldCharType="begin"/>
          </w:r>
          <w:r>
            <w:rPr>
              <w:sz w:val="28"/>
              <w:szCs w:val="28"/>
              <w:highlight w:val="none"/>
            </w:rPr>
            <w:instrText xml:space="preserve"> PAGEREF _Toc15009 \h </w:instrText>
          </w:r>
          <w:r>
            <w:rPr>
              <w:sz w:val="28"/>
              <w:szCs w:val="28"/>
              <w:highlight w:val="none"/>
            </w:rPr>
            <w:fldChar w:fldCharType="separate"/>
          </w:r>
          <w:r>
            <w:rPr>
              <w:sz w:val="28"/>
              <w:szCs w:val="28"/>
              <w:highlight w:val="none"/>
            </w:rPr>
            <w:t>- 3 -</w:t>
          </w:r>
          <w:r>
            <w:rPr>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tabs>
              <w:tab w:val="right" w:leader="dot" w:pos="9014"/>
              <w:tab w:val="clear" w:pos="1200"/>
              <w:tab w:val="clear" w:pos="8296"/>
            </w:tabs>
            <w:spacing w:line="36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_Toc17080 </w:instrText>
          </w:r>
          <w:r>
            <w:rPr>
              <w:rFonts w:hint="eastAsia" w:ascii="宋体" w:hAnsi="宋体" w:eastAsia="宋体" w:cs="宋体"/>
              <w:sz w:val="28"/>
              <w:szCs w:val="28"/>
              <w:highlight w:val="none"/>
            </w:rPr>
            <w:fldChar w:fldCharType="separate"/>
          </w:r>
          <w:r>
            <w:rPr>
              <w:rFonts w:hint="eastAsia"/>
              <w:sz w:val="28"/>
              <w:szCs w:val="28"/>
              <w:highlight w:val="none"/>
            </w:rPr>
            <w:t>第三部分</w:t>
          </w:r>
          <w:r>
            <w:rPr>
              <w:sz w:val="28"/>
              <w:szCs w:val="28"/>
              <w:highlight w:val="none"/>
            </w:rPr>
            <w:t xml:space="preserve">  </w:t>
          </w:r>
          <w:r>
            <w:rPr>
              <w:rFonts w:hint="eastAsia"/>
              <w:sz w:val="28"/>
              <w:szCs w:val="28"/>
              <w:highlight w:val="none"/>
            </w:rPr>
            <w:t>投标文件格式</w:t>
          </w:r>
          <w:r>
            <w:rPr>
              <w:sz w:val="28"/>
              <w:szCs w:val="28"/>
              <w:highlight w:val="none"/>
            </w:rPr>
            <w:tab/>
          </w:r>
          <w:r>
            <w:rPr>
              <w:sz w:val="28"/>
              <w:szCs w:val="28"/>
              <w:highlight w:val="none"/>
            </w:rPr>
            <w:fldChar w:fldCharType="begin"/>
          </w:r>
          <w:r>
            <w:rPr>
              <w:sz w:val="28"/>
              <w:szCs w:val="28"/>
              <w:highlight w:val="none"/>
            </w:rPr>
            <w:instrText xml:space="preserve"> PAGEREF _Toc17080 \h </w:instrText>
          </w:r>
          <w:r>
            <w:rPr>
              <w:sz w:val="28"/>
              <w:szCs w:val="28"/>
              <w:highlight w:val="none"/>
            </w:rPr>
            <w:fldChar w:fldCharType="separate"/>
          </w:r>
          <w:r>
            <w:rPr>
              <w:sz w:val="28"/>
              <w:szCs w:val="28"/>
              <w:highlight w:val="none"/>
            </w:rPr>
            <w:t>- 13 -</w:t>
          </w:r>
          <w:r>
            <w:rPr>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tabs>
              <w:tab w:val="right" w:leader="dot" w:pos="9014"/>
              <w:tab w:val="clear" w:pos="1200"/>
              <w:tab w:val="clear" w:pos="8296"/>
            </w:tabs>
            <w:spacing w:line="36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_Toc16576 </w:instrText>
          </w:r>
          <w:r>
            <w:rPr>
              <w:rFonts w:hint="eastAsia" w:ascii="宋体" w:hAnsi="宋体" w:eastAsia="宋体" w:cs="宋体"/>
              <w:sz w:val="28"/>
              <w:szCs w:val="28"/>
              <w:highlight w:val="none"/>
            </w:rPr>
            <w:fldChar w:fldCharType="separate"/>
          </w:r>
          <w:r>
            <w:rPr>
              <w:rFonts w:hint="eastAsia"/>
              <w:sz w:val="28"/>
              <w:szCs w:val="28"/>
              <w:highlight w:val="none"/>
            </w:rPr>
            <w:t>第四部分</w:t>
          </w:r>
          <w:r>
            <w:rPr>
              <w:sz w:val="28"/>
              <w:szCs w:val="28"/>
              <w:highlight w:val="none"/>
            </w:rPr>
            <w:t xml:space="preserve">  </w:t>
          </w:r>
          <w:r>
            <w:rPr>
              <w:rFonts w:hint="eastAsia"/>
              <w:sz w:val="28"/>
              <w:szCs w:val="28"/>
              <w:highlight w:val="none"/>
            </w:rPr>
            <w:t>主要合同条款（参考）</w:t>
          </w:r>
          <w:r>
            <w:rPr>
              <w:sz w:val="28"/>
              <w:szCs w:val="28"/>
              <w:highlight w:val="none"/>
            </w:rPr>
            <w:tab/>
          </w:r>
          <w:r>
            <w:rPr>
              <w:sz w:val="28"/>
              <w:szCs w:val="28"/>
              <w:highlight w:val="none"/>
            </w:rPr>
            <w:fldChar w:fldCharType="begin"/>
          </w:r>
          <w:r>
            <w:rPr>
              <w:sz w:val="28"/>
              <w:szCs w:val="28"/>
              <w:highlight w:val="none"/>
            </w:rPr>
            <w:instrText xml:space="preserve"> PAGEREF _Toc16576 \h </w:instrText>
          </w:r>
          <w:r>
            <w:rPr>
              <w:sz w:val="28"/>
              <w:szCs w:val="28"/>
              <w:highlight w:val="none"/>
            </w:rPr>
            <w:fldChar w:fldCharType="separate"/>
          </w:r>
          <w:r>
            <w:rPr>
              <w:sz w:val="28"/>
              <w:szCs w:val="28"/>
              <w:highlight w:val="none"/>
            </w:rPr>
            <w:t>- 27 -</w:t>
          </w:r>
          <w:r>
            <w:rPr>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tabs>
              <w:tab w:val="right" w:leader="dot" w:pos="9014"/>
              <w:tab w:val="clear" w:pos="1200"/>
              <w:tab w:val="clear" w:pos="8296"/>
            </w:tabs>
            <w:spacing w:line="36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_Toc11280 </w:instrText>
          </w:r>
          <w:r>
            <w:rPr>
              <w:rFonts w:hint="eastAsia" w:ascii="宋体" w:hAnsi="宋体" w:eastAsia="宋体" w:cs="宋体"/>
              <w:sz w:val="28"/>
              <w:szCs w:val="28"/>
              <w:highlight w:val="none"/>
            </w:rPr>
            <w:fldChar w:fldCharType="separate"/>
          </w:r>
          <w:r>
            <w:rPr>
              <w:rFonts w:hint="eastAsia"/>
              <w:sz w:val="28"/>
              <w:szCs w:val="28"/>
              <w:highlight w:val="none"/>
            </w:rPr>
            <w:t>第五部分  招标</w:t>
          </w:r>
          <w:r>
            <w:rPr>
              <w:rFonts w:hint="eastAsia"/>
              <w:sz w:val="28"/>
              <w:szCs w:val="28"/>
              <w:highlight w:val="none"/>
              <w:lang w:eastAsia="zh-CN"/>
            </w:rPr>
            <w:t>需求</w:t>
          </w:r>
          <w:r>
            <w:rPr>
              <w:sz w:val="28"/>
              <w:szCs w:val="28"/>
              <w:highlight w:val="none"/>
            </w:rPr>
            <w:tab/>
          </w:r>
          <w:r>
            <w:rPr>
              <w:sz w:val="28"/>
              <w:szCs w:val="28"/>
              <w:highlight w:val="none"/>
            </w:rPr>
            <w:fldChar w:fldCharType="begin"/>
          </w:r>
          <w:r>
            <w:rPr>
              <w:sz w:val="28"/>
              <w:szCs w:val="28"/>
              <w:highlight w:val="none"/>
            </w:rPr>
            <w:instrText xml:space="preserve"> PAGEREF _Toc11280 \h </w:instrText>
          </w:r>
          <w:r>
            <w:rPr>
              <w:sz w:val="28"/>
              <w:szCs w:val="28"/>
              <w:highlight w:val="none"/>
            </w:rPr>
            <w:fldChar w:fldCharType="separate"/>
          </w:r>
          <w:r>
            <w:rPr>
              <w:sz w:val="28"/>
              <w:szCs w:val="28"/>
              <w:highlight w:val="none"/>
            </w:rPr>
            <w:t>- 40 -</w:t>
          </w:r>
          <w:r>
            <w:rPr>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tabs>
              <w:tab w:val="right" w:leader="dot" w:pos="9014"/>
              <w:tab w:val="clear" w:pos="1200"/>
              <w:tab w:val="clear" w:pos="8296"/>
            </w:tabs>
            <w:spacing w:line="36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_Toc23394 </w:instrText>
          </w:r>
          <w:r>
            <w:rPr>
              <w:rFonts w:hint="eastAsia" w:ascii="宋体" w:hAnsi="宋体" w:eastAsia="宋体" w:cs="宋体"/>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w:t>
          </w:r>
          <w:r>
            <w:rPr>
              <w:rFonts w:hint="eastAsia"/>
              <w:sz w:val="28"/>
              <w:szCs w:val="28"/>
              <w:highlight w:val="none"/>
            </w:rPr>
            <w:t>评标原则及评标办法</w:t>
          </w:r>
          <w:r>
            <w:rPr>
              <w:sz w:val="28"/>
              <w:szCs w:val="28"/>
              <w:highlight w:val="none"/>
            </w:rPr>
            <w:tab/>
          </w:r>
          <w:r>
            <w:rPr>
              <w:sz w:val="28"/>
              <w:szCs w:val="28"/>
              <w:highlight w:val="none"/>
            </w:rPr>
            <w:fldChar w:fldCharType="begin"/>
          </w:r>
          <w:r>
            <w:rPr>
              <w:sz w:val="28"/>
              <w:szCs w:val="28"/>
              <w:highlight w:val="none"/>
            </w:rPr>
            <w:instrText xml:space="preserve"> PAGEREF _Toc23394 \h </w:instrText>
          </w:r>
          <w:r>
            <w:rPr>
              <w:sz w:val="28"/>
              <w:szCs w:val="28"/>
              <w:highlight w:val="none"/>
            </w:rPr>
            <w:fldChar w:fldCharType="separate"/>
          </w:r>
          <w:r>
            <w:rPr>
              <w:sz w:val="28"/>
              <w:szCs w:val="28"/>
              <w:highlight w:val="none"/>
            </w:rPr>
            <w:t>- 40 -</w:t>
          </w:r>
          <w:r>
            <w:rPr>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tabs>
              <w:tab w:val="right" w:leader="dot" w:pos="9014"/>
              <w:tab w:val="clear" w:pos="1200"/>
              <w:tab w:val="clear" w:pos="8296"/>
            </w:tabs>
            <w:spacing w:line="36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_Toc11343 </w:instrText>
          </w:r>
          <w:r>
            <w:rPr>
              <w:rFonts w:hint="eastAsia" w:ascii="宋体" w:hAnsi="宋体" w:eastAsia="宋体" w:cs="宋体"/>
              <w:sz w:val="28"/>
              <w:szCs w:val="28"/>
              <w:highlight w:val="none"/>
            </w:rPr>
            <w:fldChar w:fldCharType="separate"/>
          </w:r>
          <w:r>
            <w:rPr>
              <w:rFonts w:hint="eastAsia"/>
              <w:sz w:val="28"/>
              <w:szCs w:val="28"/>
              <w:highlight w:val="none"/>
            </w:rPr>
            <w:t>第七部分  资格审查</w:t>
          </w:r>
          <w:r>
            <w:rPr>
              <w:sz w:val="28"/>
              <w:szCs w:val="28"/>
              <w:highlight w:val="none"/>
            </w:rPr>
            <w:tab/>
          </w:r>
          <w:r>
            <w:rPr>
              <w:sz w:val="28"/>
              <w:szCs w:val="28"/>
              <w:highlight w:val="none"/>
            </w:rPr>
            <w:fldChar w:fldCharType="begin"/>
          </w:r>
          <w:r>
            <w:rPr>
              <w:sz w:val="28"/>
              <w:szCs w:val="28"/>
              <w:highlight w:val="none"/>
            </w:rPr>
            <w:instrText xml:space="preserve"> PAGEREF _Toc11343 \h </w:instrText>
          </w:r>
          <w:r>
            <w:rPr>
              <w:sz w:val="28"/>
              <w:szCs w:val="28"/>
              <w:highlight w:val="none"/>
            </w:rPr>
            <w:fldChar w:fldCharType="separate"/>
          </w:r>
          <w:r>
            <w:rPr>
              <w:sz w:val="28"/>
              <w:szCs w:val="28"/>
              <w:highlight w:val="none"/>
            </w:rPr>
            <w:t>- 45 -</w:t>
          </w:r>
          <w:r>
            <w:rPr>
              <w:sz w:val="28"/>
              <w:szCs w:val="28"/>
              <w:highlight w:val="none"/>
            </w:rPr>
            <w:fldChar w:fldCharType="end"/>
          </w:r>
          <w:r>
            <w:rPr>
              <w:rFonts w:hint="eastAsia" w:ascii="宋体" w:hAnsi="宋体" w:eastAsia="宋体" w:cs="宋体"/>
              <w:color w:val="auto"/>
              <w:sz w:val="28"/>
              <w:szCs w:val="28"/>
              <w:highlight w:val="none"/>
            </w:rPr>
            <w:fldChar w:fldCharType="end"/>
          </w:r>
        </w:p>
        <w:p>
          <w:pPr>
            <w:pStyle w:val="24"/>
            <w:tabs>
              <w:tab w:val="right" w:leader="dot" w:pos="9014"/>
              <w:tab w:val="clear" w:pos="1200"/>
              <w:tab w:val="clear" w:pos="8296"/>
            </w:tabs>
            <w:spacing w:line="36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_Toc25800 </w:instrText>
          </w:r>
          <w:r>
            <w:rPr>
              <w:rFonts w:hint="eastAsia" w:ascii="宋体" w:hAnsi="宋体" w:eastAsia="宋体" w:cs="宋体"/>
              <w:sz w:val="28"/>
              <w:szCs w:val="28"/>
              <w:highlight w:val="none"/>
            </w:rPr>
            <w:fldChar w:fldCharType="separate"/>
          </w:r>
          <w:r>
            <w:rPr>
              <w:rFonts w:hint="eastAsia" w:ascii="宋体" w:hAnsi="宋体"/>
              <w:snapToGrid w:val="0"/>
              <w:spacing w:val="12"/>
              <w:kern w:val="0"/>
              <w:sz w:val="28"/>
              <w:szCs w:val="28"/>
              <w:highlight w:val="none"/>
            </w:rPr>
            <w:t>第八部分</w:t>
          </w:r>
          <w:r>
            <w:rPr>
              <w:rFonts w:hint="eastAsia" w:ascii="宋体" w:hAnsi="宋体"/>
              <w:snapToGrid w:val="0"/>
              <w:spacing w:val="12"/>
              <w:kern w:val="0"/>
              <w:sz w:val="28"/>
              <w:szCs w:val="28"/>
              <w:highlight w:val="none"/>
              <w:lang w:val="en-US" w:eastAsia="zh-CN"/>
            </w:rPr>
            <w:t xml:space="preserve"> </w:t>
          </w:r>
          <w:r>
            <w:rPr>
              <w:rFonts w:hint="eastAsia" w:ascii="宋体" w:hAnsi="宋体"/>
              <w:snapToGrid w:val="0"/>
              <w:spacing w:val="12"/>
              <w:kern w:val="0"/>
              <w:sz w:val="28"/>
              <w:szCs w:val="28"/>
              <w:highlight w:val="none"/>
            </w:rPr>
            <w:t xml:space="preserve"> 答疑、补遗文件(如有待发)</w:t>
          </w:r>
          <w:r>
            <w:rPr>
              <w:sz w:val="28"/>
              <w:szCs w:val="28"/>
              <w:highlight w:val="none"/>
            </w:rPr>
            <w:tab/>
          </w:r>
          <w:r>
            <w:rPr>
              <w:sz w:val="28"/>
              <w:szCs w:val="28"/>
              <w:highlight w:val="none"/>
            </w:rPr>
            <w:fldChar w:fldCharType="begin"/>
          </w:r>
          <w:r>
            <w:rPr>
              <w:sz w:val="28"/>
              <w:szCs w:val="28"/>
              <w:highlight w:val="none"/>
            </w:rPr>
            <w:instrText xml:space="preserve"> PAGEREF _Toc25800 \h </w:instrText>
          </w:r>
          <w:r>
            <w:rPr>
              <w:sz w:val="28"/>
              <w:szCs w:val="28"/>
              <w:highlight w:val="none"/>
            </w:rPr>
            <w:fldChar w:fldCharType="separate"/>
          </w:r>
          <w:r>
            <w:rPr>
              <w:sz w:val="28"/>
              <w:szCs w:val="28"/>
              <w:highlight w:val="none"/>
            </w:rPr>
            <w:t>- 46 -</w:t>
          </w:r>
          <w:r>
            <w:rPr>
              <w:sz w:val="28"/>
              <w:szCs w:val="28"/>
              <w:highlight w:val="none"/>
            </w:rPr>
            <w:fldChar w:fldCharType="end"/>
          </w:r>
          <w:r>
            <w:rPr>
              <w:rFonts w:hint="eastAsia" w:ascii="宋体" w:hAnsi="宋体" w:eastAsia="宋体" w:cs="宋体"/>
              <w:color w:val="auto"/>
              <w:sz w:val="28"/>
              <w:szCs w:val="28"/>
              <w:highlight w:val="none"/>
            </w:rPr>
            <w:fldChar w:fldCharType="end"/>
          </w:r>
        </w:p>
        <w:p>
          <w:pPr>
            <w:pStyle w:val="4"/>
            <w:bidi w:val="0"/>
            <w:spacing w:line="360" w:lineRule="auto"/>
            <w:jc w:val="center"/>
            <w:outlineLvl w:val="9"/>
            <w:rPr>
              <w:rFonts w:hint="eastAsia"/>
              <w:color w:val="auto"/>
              <w:highlight w:val="none"/>
            </w:rPr>
            <w:sectPr>
              <w:footerReference r:id="rId3" w:type="default"/>
              <w:pgSz w:w="11906" w:h="16838"/>
              <w:pgMar w:top="1418" w:right="1304" w:bottom="1418" w:left="1588" w:header="851" w:footer="851" w:gutter="0"/>
              <w:pgNumType w:fmt="numberInDash" w:start="1"/>
              <w:cols w:space="720" w:num="1"/>
              <w:docGrid w:linePitch="312" w:charSpace="0"/>
            </w:sectPr>
          </w:pPr>
          <w:r>
            <w:rPr>
              <w:rFonts w:hint="eastAsia" w:ascii="宋体" w:hAnsi="宋体" w:eastAsia="宋体" w:cs="宋体"/>
              <w:color w:val="auto"/>
              <w:sz w:val="28"/>
              <w:szCs w:val="28"/>
              <w:highlight w:val="none"/>
            </w:rPr>
            <w:fldChar w:fldCharType="end"/>
          </w:r>
        </w:p>
      </w:sdtContent>
    </w:sdt>
    <w:p>
      <w:pPr>
        <w:pStyle w:val="4"/>
        <w:bidi w:val="0"/>
        <w:spacing w:line="240" w:lineRule="auto"/>
        <w:jc w:val="center"/>
        <w:rPr>
          <w:rFonts w:hint="eastAsia"/>
          <w:color w:val="auto"/>
          <w:highlight w:val="none"/>
        </w:rPr>
      </w:pPr>
      <w:bookmarkStart w:id="3" w:name="_Toc22259"/>
      <w:r>
        <w:rPr>
          <w:rFonts w:hint="eastAsia"/>
          <w:color w:val="auto"/>
          <w:highlight w:val="none"/>
        </w:rPr>
        <w:t>第一部分  招标公告</w:t>
      </w:r>
      <w:bookmarkEnd w:id="3"/>
    </w:p>
    <w:p>
      <w:pPr>
        <w:jc w:val="center"/>
        <w:rPr>
          <w:rFonts w:hint="eastAsia"/>
          <w:color w:val="auto"/>
          <w:sz w:val="24"/>
          <w:szCs w:val="24"/>
          <w:highlight w:val="none"/>
        </w:rPr>
      </w:pPr>
    </w:p>
    <w:p>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滦平县公安局枪弹柜智能化改造项目</w:t>
      </w:r>
      <w:r>
        <w:rPr>
          <w:rFonts w:hint="eastAsia" w:ascii="宋体" w:hAnsi="宋体" w:cs="宋体"/>
          <w:b/>
          <w:color w:val="auto"/>
          <w:sz w:val="24"/>
          <w:szCs w:val="24"/>
          <w:highlight w:val="none"/>
        </w:rPr>
        <w:t>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color w:val="auto"/>
          <w:sz w:val="24"/>
          <w:szCs w:val="24"/>
          <w:highlight w:val="none"/>
        </w:rPr>
      </w:pPr>
      <w:r>
        <w:rPr>
          <w:rFonts w:hint="eastAsia" w:ascii="华文中宋" w:hAnsi="华文中宋" w:eastAsia="华文中宋" w:cs="华文中宋"/>
          <w:sz w:val="24"/>
          <w:szCs w:val="24"/>
          <w:u w:val="single"/>
        </w:rPr>
        <w:t xml:space="preserve"> </w:t>
      </w:r>
      <w:r>
        <w:rPr>
          <w:rFonts w:hint="eastAsia" w:ascii="华文中宋" w:hAnsi="华文中宋" w:eastAsia="华文中宋" w:cs="华文中宋"/>
          <w:sz w:val="24"/>
          <w:szCs w:val="24"/>
          <w:u w:val="single"/>
          <w:lang w:val="en-US" w:eastAsia="zh-CN"/>
        </w:rPr>
        <w:t xml:space="preserve">滦平县公安局枪弹柜智能化改造项目 </w:t>
      </w:r>
      <w:r>
        <w:rPr>
          <w:rFonts w:hint="eastAsia" w:ascii="华文中宋" w:hAnsi="华文中宋" w:eastAsia="华文中宋" w:cs="华文中宋"/>
          <w:sz w:val="24"/>
          <w:szCs w:val="24"/>
        </w:rPr>
        <w:t>招标项目的潜在投标人应在</w:t>
      </w:r>
      <w:r>
        <w:rPr>
          <w:rFonts w:hint="eastAsia" w:ascii="华文中宋" w:hAnsi="华文中宋" w:eastAsia="华文中宋" w:cs="华文中宋"/>
          <w:sz w:val="24"/>
          <w:szCs w:val="24"/>
          <w:lang w:val="en-US" w:eastAsia="zh-CN"/>
        </w:rPr>
        <w:t xml:space="preserve"> </w:t>
      </w:r>
      <w:r>
        <w:rPr>
          <w:rFonts w:hint="eastAsia" w:ascii="华文中宋" w:hAnsi="华文中宋" w:eastAsia="华文中宋" w:cs="华文中宋"/>
          <w:sz w:val="24"/>
          <w:szCs w:val="24"/>
          <w:lang w:eastAsia="zh-CN"/>
        </w:rPr>
        <w:t>承德市公共资源交易中心（滦平县）新版网站（http://xzspj.chengde.gov.cn/ggzy/）</w:t>
      </w:r>
      <w:r>
        <w:rPr>
          <w:rFonts w:hint="eastAsia" w:ascii="华文中宋" w:hAnsi="华文中宋" w:eastAsia="华文中宋" w:cs="华文中宋"/>
          <w:sz w:val="24"/>
          <w:szCs w:val="24"/>
        </w:rPr>
        <w:t>获取招标文件，并</w:t>
      </w:r>
      <w:r>
        <w:rPr>
          <w:rFonts w:hint="eastAsia" w:ascii="华文中宋" w:hAnsi="华文中宋" w:eastAsia="华文中宋" w:cs="华文中宋"/>
          <w:sz w:val="24"/>
          <w:szCs w:val="24"/>
          <w:highlight w:val="none"/>
        </w:rPr>
        <w:t>于</w:t>
      </w:r>
      <w:r>
        <w:rPr>
          <w:rFonts w:hint="eastAsia" w:ascii="华文中宋" w:hAnsi="华文中宋" w:eastAsia="华文中宋" w:cs="华文中宋"/>
          <w:sz w:val="24"/>
          <w:szCs w:val="24"/>
          <w:highlight w:val="none"/>
          <w:u w:val="single"/>
        </w:rPr>
        <w:t xml:space="preserve"> </w:t>
      </w:r>
      <w:r>
        <w:rPr>
          <w:rFonts w:hint="eastAsia" w:ascii="华文中宋" w:hAnsi="华文中宋" w:eastAsia="华文中宋" w:cs="华文中宋"/>
          <w:sz w:val="24"/>
          <w:szCs w:val="24"/>
          <w:highlight w:val="none"/>
          <w:u w:val="single"/>
          <w:lang w:val="en-US" w:eastAsia="zh-CN"/>
        </w:rPr>
        <w:t>2023</w:t>
      </w:r>
      <w:r>
        <w:rPr>
          <w:rFonts w:hint="eastAsia" w:ascii="华文中宋" w:hAnsi="华文中宋" w:eastAsia="华文中宋" w:cs="华文中宋"/>
          <w:sz w:val="24"/>
          <w:szCs w:val="24"/>
          <w:highlight w:val="none"/>
          <w:u w:val="single"/>
        </w:rPr>
        <w:t xml:space="preserve"> </w:t>
      </w:r>
      <w:r>
        <w:rPr>
          <w:rFonts w:hint="eastAsia" w:ascii="华文中宋" w:hAnsi="华文中宋" w:eastAsia="华文中宋" w:cs="华文中宋"/>
          <w:bCs/>
          <w:sz w:val="24"/>
          <w:szCs w:val="24"/>
          <w:highlight w:val="none"/>
          <w:u w:val="single"/>
        </w:rPr>
        <w:t>年</w:t>
      </w:r>
      <w:r>
        <w:rPr>
          <w:rFonts w:hint="eastAsia" w:ascii="华文中宋" w:hAnsi="华文中宋" w:eastAsia="华文中宋" w:cs="华文中宋"/>
          <w:bCs/>
          <w:sz w:val="24"/>
          <w:szCs w:val="24"/>
          <w:highlight w:val="none"/>
          <w:u w:val="single"/>
          <w:lang w:val="en-US" w:eastAsia="zh-CN"/>
        </w:rPr>
        <w:t>12</w:t>
      </w:r>
      <w:r>
        <w:rPr>
          <w:rFonts w:hint="eastAsia" w:ascii="华文中宋" w:hAnsi="华文中宋" w:eastAsia="华文中宋" w:cs="华文中宋"/>
          <w:bCs/>
          <w:sz w:val="24"/>
          <w:szCs w:val="24"/>
          <w:highlight w:val="none"/>
          <w:u w:val="single"/>
        </w:rPr>
        <w:t>月</w:t>
      </w:r>
      <w:r>
        <w:rPr>
          <w:rFonts w:hint="eastAsia" w:ascii="华文中宋" w:hAnsi="华文中宋" w:eastAsia="华文中宋" w:cs="华文中宋"/>
          <w:bCs/>
          <w:sz w:val="24"/>
          <w:szCs w:val="24"/>
          <w:highlight w:val="none"/>
          <w:u w:val="single"/>
          <w:lang w:val="en-US" w:eastAsia="zh-CN"/>
        </w:rPr>
        <w:t>4</w:t>
      </w:r>
      <w:r>
        <w:rPr>
          <w:rFonts w:hint="eastAsia" w:ascii="华文中宋" w:hAnsi="华文中宋" w:eastAsia="华文中宋" w:cs="华文中宋"/>
          <w:bCs/>
          <w:sz w:val="24"/>
          <w:szCs w:val="24"/>
          <w:highlight w:val="none"/>
          <w:u w:val="single"/>
        </w:rPr>
        <w:t>日</w:t>
      </w:r>
      <w:r>
        <w:rPr>
          <w:rFonts w:hint="eastAsia" w:ascii="华文中宋" w:hAnsi="华文中宋" w:eastAsia="华文中宋" w:cs="华文中宋"/>
          <w:bCs/>
          <w:sz w:val="24"/>
          <w:szCs w:val="24"/>
          <w:highlight w:val="none"/>
          <w:u w:val="single"/>
          <w:lang w:val="en-US" w:eastAsia="zh-CN"/>
        </w:rPr>
        <w:t>13</w:t>
      </w:r>
      <w:r>
        <w:rPr>
          <w:rFonts w:hint="eastAsia" w:ascii="华文中宋" w:hAnsi="华文中宋" w:eastAsia="华文中宋" w:cs="华文中宋"/>
          <w:bCs/>
          <w:sz w:val="24"/>
          <w:szCs w:val="24"/>
          <w:highlight w:val="none"/>
          <w:u w:val="single"/>
        </w:rPr>
        <w:t>点</w:t>
      </w:r>
      <w:r>
        <w:rPr>
          <w:rFonts w:hint="eastAsia" w:ascii="华文中宋" w:hAnsi="华文中宋" w:eastAsia="华文中宋" w:cs="华文中宋"/>
          <w:bCs/>
          <w:sz w:val="24"/>
          <w:szCs w:val="24"/>
          <w:highlight w:val="none"/>
          <w:u w:val="single"/>
          <w:lang w:val="en-US" w:eastAsia="zh-CN"/>
        </w:rPr>
        <w:t>30</w:t>
      </w:r>
      <w:r>
        <w:rPr>
          <w:rFonts w:hint="eastAsia" w:ascii="华文中宋" w:hAnsi="华文中宋" w:eastAsia="华文中宋" w:cs="华文中宋"/>
          <w:bCs/>
          <w:sz w:val="24"/>
          <w:szCs w:val="24"/>
          <w:highlight w:val="none"/>
          <w:u w:val="single"/>
        </w:rPr>
        <w:t>分（</w:t>
      </w:r>
      <w:r>
        <w:rPr>
          <w:rFonts w:hint="eastAsia" w:ascii="华文中宋" w:hAnsi="华文中宋" w:eastAsia="华文中宋" w:cs="华文中宋"/>
          <w:bCs/>
          <w:sz w:val="24"/>
          <w:szCs w:val="24"/>
          <w:highlight w:val="none"/>
        </w:rPr>
        <w:t>北京时间）前递交投标文件</w:t>
      </w:r>
      <w:r>
        <w:rPr>
          <w:rFonts w:hint="eastAsia" w:ascii="华文中宋" w:hAnsi="华文中宋" w:eastAsia="华文中宋" w:cs="华文中宋"/>
          <w:sz w:val="24"/>
          <w:szCs w:val="24"/>
          <w:highlight w:val="none"/>
        </w:rPr>
        <w:t>。</w:t>
      </w:r>
    </w:p>
    <w:p>
      <w:pPr>
        <w:numPr>
          <w:ilvl w:val="0"/>
          <w:numId w:val="2"/>
        </w:numPr>
        <w:snapToGrid w:val="0"/>
        <w:spacing w:line="360" w:lineRule="auto"/>
        <w:jc w:val="left"/>
        <w:rPr>
          <w:rFonts w:hint="eastAsia" w:ascii="微软雅黑" w:hAnsi="微软雅黑" w:eastAsia="微软雅黑" w:cs="微软雅黑"/>
          <w:i w:val="0"/>
          <w:caps w:val="0"/>
          <w:color w:val="auto"/>
          <w:spacing w:val="0"/>
          <w:sz w:val="21"/>
          <w:szCs w:val="21"/>
          <w:highlight w:val="none"/>
          <w:shd w:val="clear" w:fill="FFFFFF"/>
        </w:rPr>
      </w:pPr>
      <w:r>
        <w:rPr>
          <w:rFonts w:hint="eastAsia" w:ascii="微软雅黑" w:hAnsi="微软雅黑" w:eastAsia="微软雅黑" w:cs="微软雅黑"/>
          <w:b/>
          <w:i w:val="0"/>
          <w:caps w:val="0"/>
          <w:color w:val="auto"/>
          <w:spacing w:val="0"/>
          <w:sz w:val="21"/>
          <w:szCs w:val="21"/>
          <w:highlight w:val="none"/>
          <w:u w:val="none"/>
          <w:shd w:val="clear" w:fill="FFFFFF"/>
        </w:rPr>
        <w:t>项目基本情况</w:t>
      </w:r>
      <w:r>
        <w:rPr>
          <w:rFonts w:hint="eastAsia" w:ascii="微软雅黑" w:hAnsi="微软雅黑" w:eastAsia="微软雅黑" w:cs="微软雅黑"/>
          <w:b/>
          <w:i w:val="0"/>
          <w:caps w:val="0"/>
          <w:color w:val="auto"/>
          <w:spacing w:val="0"/>
          <w:sz w:val="21"/>
          <w:szCs w:val="21"/>
          <w:highlight w:val="none"/>
          <w:u w:val="none"/>
          <w:shd w:val="clear" w:fill="FFFFFF"/>
        </w:rPr>
        <w:br w:type="textWrapping"/>
      </w:r>
      <w:r>
        <w:rPr>
          <w:rFonts w:hint="eastAsia" w:ascii="微软雅黑" w:hAnsi="微软雅黑" w:eastAsia="微软雅黑" w:cs="微软雅黑"/>
          <w:i w:val="0"/>
          <w:caps w:val="0"/>
          <w:color w:val="auto"/>
          <w:spacing w:val="0"/>
          <w:sz w:val="21"/>
          <w:szCs w:val="21"/>
          <w:highlight w:val="none"/>
          <w:shd w:val="clear" w:fill="FFFFFF"/>
        </w:rPr>
        <w:t>项目编号：</w:t>
      </w:r>
      <w:r>
        <w:rPr>
          <w:rFonts w:hint="eastAsia" w:ascii="微软雅黑" w:hAnsi="微软雅黑" w:eastAsia="微软雅黑" w:cs="微软雅黑"/>
          <w:i w:val="0"/>
          <w:caps w:val="0"/>
          <w:color w:val="auto"/>
          <w:spacing w:val="0"/>
          <w:sz w:val="21"/>
          <w:szCs w:val="21"/>
          <w:highlight w:val="none"/>
          <w:u w:val="none"/>
          <w:shd w:val="clear" w:fill="FFFFFF"/>
        </w:rPr>
        <w:t> </w:t>
      </w:r>
      <w:r>
        <w:rPr>
          <w:rFonts w:hint="eastAsia" w:ascii="微软雅黑" w:hAnsi="微软雅黑" w:eastAsia="微软雅黑" w:cs="微软雅黑"/>
          <w:i w:val="0"/>
          <w:caps w:val="0"/>
          <w:color w:val="auto"/>
          <w:spacing w:val="0"/>
          <w:sz w:val="21"/>
          <w:szCs w:val="21"/>
          <w:highlight w:val="none"/>
          <w:u w:val="none"/>
          <w:shd w:val="clear" w:fill="FFFFFF"/>
          <w:lang w:eastAsia="zh-CN"/>
        </w:rPr>
        <w:t>CDJBK202311068</w:t>
      </w:r>
      <w:r>
        <w:rPr>
          <w:rFonts w:hint="eastAsia" w:ascii="微软雅黑" w:hAnsi="微软雅黑" w:eastAsia="微软雅黑" w:cs="微软雅黑"/>
          <w:i w:val="0"/>
          <w:caps w:val="0"/>
          <w:color w:val="auto"/>
          <w:spacing w:val="0"/>
          <w:sz w:val="21"/>
          <w:szCs w:val="21"/>
          <w:highlight w:val="none"/>
          <w:shd w:val="clear" w:fill="FFFFFF"/>
        </w:rPr>
        <w:br w:type="textWrapping"/>
      </w:r>
      <w:r>
        <w:rPr>
          <w:rFonts w:hint="eastAsia" w:ascii="微软雅黑" w:hAnsi="微软雅黑" w:eastAsia="微软雅黑" w:cs="微软雅黑"/>
          <w:i w:val="0"/>
          <w:caps w:val="0"/>
          <w:color w:val="auto"/>
          <w:spacing w:val="0"/>
          <w:sz w:val="21"/>
          <w:szCs w:val="21"/>
          <w:highlight w:val="none"/>
          <w:shd w:val="clear" w:fill="FFFFFF"/>
        </w:rPr>
        <w:t>项目名称：</w:t>
      </w:r>
      <w:r>
        <w:rPr>
          <w:rFonts w:hint="eastAsia" w:ascii="微软雅黑" w:hAnsi="微软雅黑" w:eastAsia="微软雅黑" w:cs="微软雅黑"/>
          <w:i w:val="0"/>
          <w:caps w:val="0"/>
          <w:color w:val="auto"/>
          <w:spacing w:val="0"/>
          <w:sz w:val="21"/>
          <w:szCs w:val="21"/>
          <w:highlight w:val="none"/>
          <w:u w:val="none"/>
          <w:shd w:val="clear" w:fill="FFFFFF"/>
        </w:rPr>
        <w:t> </w:t>
      </w:r>
      <w:r>
        <w:rPr>
          <w:rFonts w:hint="eastAsia" w:ascii="微软雅黑" w:hAnsi="微软雅黑" w:eastAsia="微软雅黑" w:cs="微软雅黑"/>
          <w:i w:val="0"/>
          <w:caps w:val="0"/>
          <w:color w:val="auto"/>
          <w:spacing w:val="0"/>
          <w:sz w:val="21"/>
          <w:szCs w:val="21"/>
          <w:highlight w:val="none"/>
          <w:u w:val="none"/>
          <w:shd w:val="clear" w:fill="FFFFFF"/>
          <w:lang w:eastAsia="zh-CN"/>
        </w:rPr>
        <w:t>滦平县公安局枪弹柜智能化改造项目</w:t>
      </w:r>
      <w:r>
        <w:rPr>
          <w:rFonts w:hint="eastAsia" w:ascii="微软雅黑" w:hAnsi="微软雅黑" w:eastAsia="微软雅黑" w:cs="微软雅黑"/>
          <w:i w:val="0"/>
          <w:caps w:val="0"/>
          <w:color w:val="auto"/>
          <w:spacing w:val="0"/>
          <w:sz w:val="21"/>
          <w:szCs w:val="21"/>
          <w:highlight w:val="none"/>
          <w:shd w:val="clear" w:fill="FFFFFF"/>
        </w:rPr>
        <w:br w:type="textWrapping"/>
      </w:r>
      <w:r>
        <w:rPr>
          <w:rFonts w:hint="eastAsia" w:ascii="微软雅黑" w:hAnsi="微软雅黑" w:eastAsia="微软雅黑" w:cs="微软雅黑"/>
          <w:i w:val="0"/>
          <w:caps w:val="0"/>
          <w:color w:val="auto"/>
          <w:spacing w:val="0"/>
          <w:sz w:val="21"/>
          <w:szCs w:val="21"/>
          <w:highlight w:val="none"/>
          <w:shd w:val="clear" w:fill="FFFFFF"/>
        </w:rPr>
        <w:t>预算金额：</w:t>
      </w:r>
      <w:r>
        <w:rPr>
          <w:rFonts w:hint="eastAsia" w:ascii="微软雅黑" w:hAnsi="微软雅黑" w:eastAsia="微软雅黑" w:cs="微软雅黑"/>
          <w:i w:val="0"/>
          <w:caps w:val="0"/>
          <w:color w:val="auto"/>
          <w:spacing w:val="0"/>
          <w:sz w:val="21"/>
          <w:szCs w:val="21"/>
          <w:highlight w:val="none"/>
          <w:u w:val="none"/>
          <w:shd w:val="clear" w:fill="FFFFFF"/>
        </w:rPr>
        <w:t> </w:t>
      </w:r>
      <w:r>
        <w:rPr>
          <w:rFonts w:hint="eastAsia" w:ascii="微软雅黑" w:hAnsi="微软雅黑" w:eastAsia="微软雅黑" w:cs="微软雅黑"/>
          <w:i w:val="0"/>
          <w:caps w:val="0"/>
          <w:color w:val="auto"/>
          <w:spacing w:val="0"/>
          <w:sz w:val="21"/>
          <w:szCs w:val="21"/>
          <w:highlight w:val="none"/>
          <w:u w:val="none"/>
          <w:shd w:val="clear" w:fill="FFFFFF"/>
          <w:lang w:val="en-US" w:eastAsia="zh-CN"/>
        </w:rPr>
        <w:t>485000.00元</w:t>
      </w:r>
      <w:r>
        <w:rPr>
          <w:rFonts w:hint="eastAsia" w:ascii="微软雅黑" w:hAnsi="微软雅黑" w:eastAsia="微软雅黑" w:cs="微软雅黑"/>
          <w:i w:val="0"/>
          <w:caps w:val="0"/>
          <w:color w:val="auto"/>
          <w:spacing w:val="0"/>
          <w:sz w:val="21"/>
          <w:szCs w:val="21"/>
          <w:highlight w:val="none"/>
          <w:shd w:val="clear" w:fill="FFFFFF"/>
        </w:rPr>
        <w:br w:type="textWrapping"/>
      </w:r>
      <w:r>
        <w:rPr>
          <w:rFonts w:hint="eastAsia" w:ascii="微软雅黑" w:hAnsi="微软雅黑" w:eastAsia="微软雅黑" w:cs="微软雅黑"/>
          <w:i w:val="0"/>
          <w:caps w:val="0"/>
          <w:color w:val="auto"/>
          <w:spacing w:val="0"/>
          <w:sz w:val="21"/>
          <w:szCs w:val="21"/>
          <w:highlight w:val="none"/>
          <w:shd w:val="clear" w:fill="FFFFFF"/>
        </w:rPr>
        <w:t>最高限价：</w:t>
      </w:r>
      <w:r>
        <w:rPr>
          <w:rFonts w:hint="eastAsia" w:ascii="微软雅黑" w:hAnsi="微软雅黑" w:eastAsia="微软雅黑" w:cs="微软雅黑"/>
          <w:i w:val="0"/>
          <w:caps w:val="0"/>
          <w:color w:val="auto"/>
          <w:spacing w:val="0"/>
          <w:sz w:val="21"/>
          <w:szCs w:val="21"/>
          <w:highlight w:val="none"/>
          <w:u w:val="none"/>
          <w:shd w:val="clear" w:fill="FFFFFF"/>
        </w:rPr>
        <w:t> </w:t>
      </w:r>
      <w:r>
        <w:rPr>
          <w:rFonts w:hint="eastAsia" w:ascii="微软雅黑" w:hAnsi="微软雅黑" w:eastAsia="微软雅黑" w:cs="微软雅黑"/>
          <w:i w:val="0"/>
          <w:caps w:val="0"/>
          <w:color w:val="auto"/>
          <w:spacing w:val="0"/>
          <w:sz w:val="21"/>
          <w:szCs w:val="21"/>
          <w:highlight w:val="none"/>
          <w:u w:val="none"/>
          <w:shd w:val="clear" w:fill="FFFFFF"/>
          <w:lang w:val="en-US" w:eastAsia="zh-CN"/>
        </w:rPr>
        <w:t>485000.00元</w:t>
      </w:r>
      <w:r>
        <w:rPr>
          <w:rFonts w:hint="eastAsia" w:ascii="微软雅黑" w:hAnsi="微软雅黑" w:eastAsia="微软雅黑" w:cs="微软雅黑"/>
          <w:i w:val="0"/>
          <w:caps w:val="0"/>
          <w:color w:val="auto"/>
          <w:spacing w:val="0"/>
          <w:sz w:val="21"/>
          <w:szCs w:val="21"/>
          <w:highlight w:val="none"/>
          <w:shd w:val="clear" w:fill="FFFFFF"/>
        </w:rPr>
        <w:br w:type="textWrapping"/>
      </w:r>
      <w:r>
        <w:rPr>
          <w:rFonts w:hint="eastAsia" w:ascii="微软雅黑" w:hAnsi="微软雅黑" w:eastAsia="微软雅黑" w:cs="微软雅黑"/>
          <w:i w:val="0"/>
          <w:caps w:val="0"/>
          <w:color w:val="auto"/>
          <w:spacing w:val="0"/>
          <w:sz w:val="21"/>
          <w:szCs w:val="21"/>
          <w:highlight w:val="none"/>
          <w:shd w:val="clear" w:fill="FFFFFF"/>
        </w:rPr>
        <w:t>采购需求：</w:t>
      </w:r>
      <w:r>
        <w:rPr>
          <w:rFonts w:hint="eastAsia" w:ascii="微软雅黑" w:hAnsi="微软雅黑" w:eastAsia="微软雅黑" w:cs="微软雅黑"/>
          <w:i w:val="0"/>
          <w:caps w:val="0"/>
          <w:color w:val="auto"/>
          <w:spacing w:val="0"/>
          <w:sz w:val="21"/>
          <w:szCs w:val="21"/>
          <w:highlight w:val="none"/>
          <w:shd w:val="clear" w:fill="FFFFFF"/>
          <w:lang w:eastAsia="zh-CN"/>
        </w:rPr>
        <w:t>购置：（一）智能枪弹柜系统、（二）枪弹库一体化管理平台、（三）智能门禁系统、（四）视频监控系统、（五）安防报警系统、（六）其他配套产品。</w:t>
      </w:r>
    </w:p>
    <w:p>
      <w:pPr>
        <w:numPr>
          <w:ilvl w:val="0"/>
          <w:numId w:val="0"/>
        </w:numPr>
        <w:snapToGrid w:val="0"/>
        <w:spacing w:line="360" w:lineRule="auto"/>
        <w:jc w:val="left"/>
        <w:rPr>
          <w:rFonts w:hint="eastAsia" w:ascii="微软雅黑" w:hAnsi="微软雅黑" w:eastAsia="微软雅黑" w:cs="微软雅黑"/>
          <w:i w:val="0"/>
          <w:caps w:val="0"/>
          <w:color w:val="auto"/>
          <w:spacing w:val="0"/>
          <w:sz w:val="21"/>
          <w:szCs w:val="21"/>
          <w:highlight w:val="none"/>
          <w:shd w:val="clear" w:fill="FFFFFF"/>
        </w:rPr>
      </w:pPr>
      <w:r>
        <w:rPr>
          <w:rFonts w:hint="eastAsia" w:ascii="微软雅黑" w:hAnsi="微软雅黑" w:eastAsia="微软雅黑" w:cs="微软雅黑"/>
          <w:i w:val="0"/>
          <w:caps w:val="0"/>
          <w:color w:val="auto"/>
          <w:spacing w:val="0"/>
          <w:sz w:val="21"/>
          <w:szCs w:val="21"/>
          <w:highlight w:val="none"/>
          <w:shd w:val="clear" w:fill="FFFFFF"/>
        </w:rPr>
        <w:t>本项目（是/否）接受联合体投标：</w:t>
      </w:r>
      <w:r>
        <w:rPr>
          <w:rFonts w:hint="eastAsia" w:ascii="微软雅黑" w:hAnsi="微软雅黑" w:eastAsia="微软雅黑" w:cs="微软雅黑"/>
          <w:i w:val="0"/>
          <w:caps w:val="0"/>
          <w:color w:val="auto"/>
          <w:spacing w:val="0"/>
          <w:sz w:val="21"/>
          <w:szCs w:val="21"/>
          <w:highlight w:val="none"/>
          <w:u w:val="none"/>
          <w:shd w:val="clear" w:fill="FFFFFF"/>
        </w:rPr>
        <w:t>否</w:t>
      </w:r>
      <w:r>
        <w:rPr>
          <w:rFonts w:hint="eastAsia" w:ascii="微软雅黑" w:hAnsi="微软雅黑" w:eastAsia="微软雅黑" w:cs="微软雅黑"/>
          <w:i w:val="0"/>
          <w:caps w:val="0"/>
          <w:color w:val="auto"/>
          <w:spacing w:val="0"/>
          <w:sz w:val="21"/>
          <w:szCs w:val="21"/>
          <w:highlight w:val="none"/>
          <w:shd w:val="clear" w:fill="FFFFFF"/>
        </w:rPr>
        <w:br w:type="textWrapping"/>
      </w:r>
      <w:r>
        <w:rPr>
          <w:rFonts w:hint="eastAsia" w:ascii="微软雅黑" w:hAnsi="微软雅黑" w:eastAsia="微软雅黑" w:cs="微软雅黑"/>
          <w:b/>
          <w:i w:val="0"/>
          <w:caps w:val="0"/>
          <w:color w:val="auto"/>
          <w:spacing w:val="0"/>
          <w:sz w:val="21"/>
          <w:szCs w:val="21"/>
          <w:highlight w:val="none"/>
          <w:u w:val="none"/>
          <w:shd w:val="clear" w:fill="FFFFFF"/>
        </w:rPr>
        <w:t>二、申请人的资格要求</w:t>
      </w:r>
      <w:r>
        <w:rPr>
          <w:rFonts w:hint="eastAsia" w:ascii="微软雅黑" w:hAnsi="微软雅黑" w:eastAsia="微软雅黑" w:cs="微软雅黑"/>
          <w:b/>
          <w:i w:val="0"/>
          <w:caps w:val="0"/>
          <w:color w:val="auto"/>
          <w:spacing w:val="0"/>
          <w:sz w:val="21"/>
          <w:szCs w:val="21"/>
          <w:highlight w:val="none"/>
          <w:u w:val="none"/>
          <w:shd w:val="clear" w:fill="FFFFFF"/>
        </w:rPr>
        <w:br w:type="textWrapping"/>
      </w:r>
      <w:r>
        <w:rPr>
          <w:rFonts w:hint="eastAsia" w:ascii="微软雅黑" w:hAnsi="微软雅黑" w:eastAsia="微软雅黑" w:cs="微软雅黑"/>
          <w:i w:val="0"/>
          <w:caps w:val="0"/>
          <w:color w:val="auto"/>
          <w:spacing w:val="0"/>
          <w:sz w:val="21"/>
          <w:szCs w:val="21"/>
          <w:highlight w:val="none"/>
          <w:u w:val="none"/>
          <w:shd w:val="clear" w:fill="FFFFFF"/>
        </w:rPr>
        <w:t>1.满足《中华人民共和国政府采购法》第二十二条规定；</w:t>
      </w:r>
      <w:r>
        <w:rPr>
          <w:rFonts w:hint="eastAsia" w:ascii="微软雅黑" w:hAnsi="微软雅黑" w:eastAsia="微软雅黑" w:cs="微软雅黑"/>
          <w:i w:val="0"/>
          <w:caps w:val="0"/>
          <w:color w:val="auto"/>
          <w:spacing w:val="0"/>
          <w:sz w:val="21"/>
          <w:szCs w:val="21"/>
          <w:highlight w:val="none"/>
          <w:shd w:val="clear" w:fill="FFFFFF"/>
        </w:rPr>
        <w:br w:type="textWrapping"/>
      </w:r>
      <w:r>
        <w:rPr>
          <w:rFonts w:hint="eastAsia" w:ascii="微软雅黑" w:hAnsi="微软雅黑" w:eastAsia="微软雅黑" w:cs="微软雅黑"/>
          <w:i w:val="0"/>
          <w:caps w:val="0"/>
          <w:color w:val="auto"/>
          <w:spacing w:val="0"/>
          <w:sz w:val="21"/>
          <w:szCs w:val="21"/>
          <w:highlight w:val="none"/>
          <w:u w:val="none"/>
          <w:shd w:val="clear" w:fill="FFFFFF"/>
        </w:rPr>
        <w:t>2.落实政府采购政策需满足的资格要求：本项目专门面向中小企业采购；</w:t>
      </w:r>
      <w:r>
        <w:rPr>
          <w:rFonts w:hint="eastAsia" w:ascii="微软雅黑" w:hAnsi="微软雅黑" w:eastAsia="微软雅黑" w:cs="微软雅黑"/>
          <w:i w:val="0"/>
          <w:caps w:val="0"/>
          <w:color w:val="auto"/>
          <w:spacing w:val="0"/>
          <w:sz w:val="21"/>
          <w:szCs w:val="21"/>
          <w:highlight w:val="none"/>
          <w:shd w:val="clear" w:fill="FFFFFF"/>
        </w:rPr>
        <w:br w:type="textWrapping"/>
      </w:r>
      <w:r>
        <w:rPr>
          <w:rFonts w:hint="eastAsia" w:ascii="微软雅黑" w:hAnsi="微软雅黑" w:eastAsia="微软雅黑" w:cs="微软雅黑"/>
          <w:i w:val="0"/>
          <w:caps w:val="0"/>
          <w:color w:val="auto"/>
          <w:spacing w:val="0"/>
          <w:sz w:val="21"/>
          <w:szCs w:val="21"/>
          <w:highlight w:val="none"/>
          <w:u w:val="none"/>
          <w:shd w:val="clear" w:fill="FFFFFF"/>
        </w:rPr>
        <w:t>3.本项目的特定资格要求：</w:t>
      </w:r>
      <w:r>
        <w:rPr>
          <w:rFonts w:hint="eastAsia" w:ascii="微软雅黑" w:hAnsi="微软雅黑" w:eastAsia="微软雅黑" w:cs="微软雅黑"/>
          <w:i w:val="0"/>
          <w:caps w:val="0"/>
          <w:color w:val="auto"/>
          <w:spacing w:val="0"/>
          <w:sz w:val="21"/>
          <w:szCs w:val="21"/>
          <w:highlight w:val="none"/>
          <w:u w:val="none"/>
          <w:shd w:val="clear" w:fill="FFFFFF"/>
          <w:lang w:eastAsia="zh-CN"/>
        </w:rPr>
        <w:t>无</w:t>
      </w:r>
      <w:r>
        <w:rPr>
          <w:rFonts w:hint="eastAsia" w:ascii="微软雅黑" w:hAnsi="微软雅黑" w:eastAsia="微软雅黑" w:cs="微软雅黑"/>
          <w:i w:val="0"/>
          <w:caps w:val="0"/>
          <w:color w:val="auto"/>
          <w:spacing w:val="0"/>
          <w:sz w:val="21"/>
          <w:szCs w:val="21"/>
          <w:highlight w:val="none"/>
          <w:shd w:val="clear" w:fill="FFFFFF"/>
        </w:rPr>
        <w:br w:type="textWrapping"/>
      </w:r>
      <w:r>
        <w:rPr>
          <w:rFonts w:hint="eastAsia" w:ascii="微软雅黑" w:hAnsi="微软雅黑" w:eastAsia="微软雅黑" w:cs="微软雅黑"/>
          <w:b/>
          <w:i w:val="0"/>
          <w:caps w:val="0"/>
          <w:color w:val="auto"/>
          <w:spacing w:val="0"/>
          <w:sz w:val="21"/>
          <w:szCs w:val="21"/>
          <w:highlight w:val="none"/>
          <w:u w:val="none"/>
          <w:shd w:val="clear" w:fill="FFFFFF"/>
        </w:rPr>
        <w:t>三、获取招标文件</w:t>
      </w:r>
      <w:r>
        <w:rPr>
          <w:rFonts w:hint="eastAsia" w:ascii="微软雅黑" w:hAnsi="微软雅黑" w:eastAsia="微软雅黑" w:cs="微软雅黑"/>
          <w:b/>
          <w:i w:val="0"/>
          <w:caps w:val="0"/>
          <w:color w:val="auto"/>
          <w:spacing w:val="0"/>
          <w:sz w:val="21"/>
          <w:szCs w:val="21"/>
          <w:highlight w:val="none"/>
          <w:u w:val="none"/>
          <w:shd w:val="clear" w:fill="FFFFFF"/>
        </w:rPr>
        <w:br w:type="textWrapping"/>
      </w:r>
      <w:r>
        <w:rPr>
          <w:rFonts w:hint="eastAsia" w:ascii="微软雅黑" w:hAnsi="微软雅黑" w:eastAsia="微软雅黑" w:cs="微软雅黑"/>
          <w:i w:val="0"/>
          <w:caps w:val="0"/>
          <w:color w:val="auto"/>
          <w:spacing w:val="0"/>
          <w:sz w:val="21"/>
          <w:szCs w:val="21"/>
          <w:highlight w:val="none"/>
          <w:shd w:val="clear" w:fill="FFFFFF"/>
        </w:rPr>
        <w:t>时间：</w:t>
      </w:r>
      <w:r>
        <w:rPr>
          <w:rFonts w:hint="eastAsia" w:ascii="微软雅黑" w:hAnsi="微软雅黑" w:eastAsia="微软雅黑" w:cs="微软雅黑"/>
          <w:i w:val="0"/>
          <w:caps w:val="0"/>
          <w:color w:val="auto"/>
          <w:spacing w:val="0"/>
          <w:sz w:val="21"/>
          <w:szCs w:val="21"/>
          <w:highlight w:val="none"/>
          <w:u w:val="none"/>
          <w:shd w:val="clear" w:fill="FFFFFF"/>
        </w:rPr>
        <w:t> 202</w:t>
      </w:r>
      <w:r>
        <w:rPr>
          <w:rFonts w:hint="eastAsia" w:ascii="微软雅黑" w:hAnsi="微软雅黑" w:eastAsia="微软雅黑" w:cs="微软雅黑"/>
          <w:i w:val="0"/>
          <w:caps w:val="0"/>
          <w:color w:val="auto"/>
          <w:spacing w:val="0"/>
          <w:sz w:val="21"/>
          <w:szCs w:val="21"/>
          <w:highlight w:val="none"/>
          <w:u w:val="none"/>
          <w:shd w:val="clear" w:fill="FFFFFF"/>
          <w:lang w:val="en-US" w:eastAsia="zh-CN"/>
        </w:rPr>
        <w:t>3</w:t>
      </w:r>
      <w:r>
        <w:rPr>
          <w:rFonts w:hint="eastAsia" w:ascii="微软雅黑" w:hAnsi="微软雅黑" w:eastAsia="微软雅黑" w:cs="微软雅黑"/>
          <w:i w:val="0"/>
          <w:caps w:val="0"/>
          <w:color w:val="auto"/>
          <w:spacing w:val="0"/>
          <w:sz w:val="21"/>
          <w:szCs w:val="21"/>
          <w:highlight w:val="none"/>
          <w:u w:val="none"/>
          <w:shd w:val="clear" w:fill="FFFFFF"/>
        </w:rPr>
        <w:t>年</w:t>
      </w:r>
      <w:r>
        <w:rPr>
          <w:rFonts w:hint="eastAsia" w:ascii="微软雅黑" w:hAnsi="微软雅黑" w:eastAsia="微软雅黑" w:cs="微软雅黑"/>
          <w:i w:val="0"/>
          <w:caps w:val="0"/>
          <w:color w:val="auto"/>
          <w:spacing w:val="0"/>
          <w:sz w:val="21"/>
          <w:szCs w:val="21"/>
          <w:highlight w:val="none"/>
          <w:u w:val="none"/>
          <w:shd w:val="clear" w:fill="FFFFFF"/>
          <w:lang w:val="en-US" w:eastAsia="zh-CN"/>
        </w:rPr>
        <w:t>11</w:t>
      </w:r>
      <w:r>
        <w:rPr>
          <w:rFonts w:hint="eastAsia" w:ascii="微软雅黑" w:hAnsi="微软雅黑" w:eastAsia="微软雅黑" w:cs="微软雅黑"/>
          <w:i w:val="0"/>
          <w:caps w:val="0"/>
          <w:color w:val="auto"/>
          <w:spacing w:val="0"/>
          <w:sz w:val="21"/>
          <w:szCs w:val="21"/>
          <w:highlight w:val="none"/>
          <w:u w:val="none"/>
          <w:shd w:val="clear" w:fill="FFFFFF"/>
        </w:rPr>
        <w:t>月</w:t>
      </w:r>
      <w:r>
        <w:rPr>
          <w:rFonts w:hint="eastAsia" w:ascii="微软雅黑" w:hAnsi="微软雅黑" w:eastAsia="微软雅黑" w:cs="微软雅黑"/>
          <w:i w:val="0"/>
          <w:caps w:val="0"/>
          <w:color w:val="auto"/>
          <w:spacing w:val="0"/>
          <w:sz w:val="21"/>
          <w:szCs w:val="21"/>
          <w:highlight w:val="none"/>
          <w:u w:val="none"/>
          <w:shd w:val="clear" w:fill="FFFFFF"/>
          <w:lang w:val="en-US" w:eastAsia="zh-CN"/>
        </w:rPr>
        <w:t>14</w:t>
      </w:r>
      <w:r>
        <w:rPr>
          <w:rFonts w:hint="eastAsia" w:ascii="微软雅黑" w:hAnsi="微软雅黑" w:eastAsia="微软雅黑" w:cs="微软雅黑"/>
          <w:i w:val="0"/>
          <w:caps w:val="0"/>
          <w:color w:val="auto"/>
          <w:spacing w:val="0"/>
          <w:sz w:val="21"/>
          <w:szCs w:val="21"/>
          <w:highlight w:val="none"/>
          <w:u w:val="none"/>
          <w:shd w:val="clear" w:fill="FFFFFF"/>
        </w:rPr>
        <w:t>日至 202</w:t>
      </w:r>
      <w:r>
        <w:rPr>
          <w:rFonts w:hint="eastAsia" w:ascii="微软雅黑" w:hAnsi="微软雅黑" w:eastAsia="微软雅黑" w:cs="微软雅黑"/>
          <w:i w:val="0"/>
          <w:caps w:val="0"/>
          <w:color w:val="auto"/>
          <w:spacing w:val="0"/>
          <w:sz w:val="21"/>
          <w:szCs w:val="21"/>
          <w:highlight w:val="none"/>
          <w:u w:val="none"/>
          <w:shd w:val="clear" w:fill="FFFFFF"/>
          <w:lang w:val="en-US" w:eastAsia="zh-CN"/>
        </w:rPr>
        <w:t>3</w:t>
      </w:r>
      <w:r>
        <w:rPr>
          <w:rFonts w:hint="eastAsia" w:ascii="微软雅黑" w:hAnsi="微软雅黑" w:eastAsia="微软雅黑" w:cs="微软雅黑"/>
          <w:i w:val="0"/>
          <w:caps w:val="0"/>
          <w:color w:val="auto"/>
          <w:spacing w:val="0"/>
          <w:sz w:val="21"/>
          <w:szCs w:val="21"/>
          <w:highlight w:val="none"/>
          <w:u w:val="none"/>
          <w:shd w:val="clear" w:fill="FFFFFF"/>
        </w:rPr>
        <w:t>年</w:t>
      </w:r>
      <w:r>
        <w:rPr>
          <w:rFonts w:hint="eastAsia" w:ascii="微软雅黑" w:hAnsi="微软雅黑" w:eastAsia="微软雅黑" w:cs="微软雅黑"/>
          <w:i w:val="0"/>
          <w:caps w:val="0"/>
          <w:color w:val="auto"/>
          <w:spacing w:val="0"/>
          <w:sz w:val="21"/>
          <w:szCs w:val="21"/>
          <w:highlight w:val="none"/>
          <w:u w:val="none"/>
          <w:shd w:val="clear" w:fill="FFFFFF"/>
          <w:lang w:val="en-US" w:eastAsia="zh-CN"/>
        </w:rPr>
        <w:t>11</w:t>
      </w:r>
      <w:r>
        <w:rPr>
          <w:rFonts w:hint="eastAsia" w:ascii="微软雅黑" w:hAnsi="微软雅黑" w:eastAsia="微软雅黑" w:cs="微软雅黑"/>
          <w:i w:val="0"/>
          <w:caps w:val="0"/>
          <w:color w:val="auto"/>
          <w:spacing w:val="0"/>
          <w:sz w:val="21"/>
          <w:szCs w:val="21"/>
          <w:highlight w:val="none"/>
          <w:u w:val="none"/>
          <w:shd w:val="clear" w:fill="FFFFFF"/>
        </w:rPr>
        <w:t>月</w:t>
      </w:r>
      <w:r>
        <w:rPr>
          <w:rFonts w:hint="eastAsia" w:ascii="微软雅黑" w:hAnsi="微软雅黑" w:eastAsia="微软雅黑" w:cs="微软雅黑"/>
          <w:i w:val="0"/>
          <w:caps w:val="0"/>
          <w:color w:val="auto"/>
          <w:spacing w:val="0"/>
          <w:sz w:val="21"/>
          <w:szCs w:val="21"/>
          <w:highlight w:val="none"/>
          <w:u w:val="none"/>
          <w:shd w:val="clear" w:fill="FFFFFF"/>
          <w:lang w:val="en-US" w:eastAsia="zh-CN"/>
        </w:rPr>
        <w:t>20</w:t>
      </w:r>
      <w:r>
        <w:rPr>
          <w:rFonts w:hint="eastAsia" w:ascii="微软雅黑" w:hAnsi="微软雅黑" w:eastAsia="微软雅黑" w:cs="微软雅黑"/>
          <w:i w:val="0"/>
          <w:caps w:val="0"/>
          <w:color w:val="auto"/>
          <w:spacing w:val="0"/>
          <w:sz w:val="21"/>
          <w:szCs w:val="21"/>
          <w:highlight w:val="none"/>
          <w:u w:val="none"/>
          <w:shd w:val="clear" w:fill="FFFFFF"/>
        </w:rPr>
        <w:t>日，</w:t>
      </w:r>
      <w:r>
        <w:rPr>
          <w:rFonts w:hint="eastAsia" w:ascii="微软雅黑" w:hAnsi="微软雅黑" w:eastAsia="微软雅黑" w:cs="微软雅黑"/>
          <w:i w:val="0"/>
          <w:caps w:val="0"/>
          <w:color w:val="auto"/>
          <w:spacing w:val="0"/>
          <w:sz w:val="21"/>
          <w:szCs w:val="21"/>
          <w:highlight w:val="none"/>
          <w:u w:val="none"/>
          <w:shd w:val="clear" w:fill="FFFFFF"/>
          <w:lang w:val="en-US" w:eastAsia="zh-CN"/>
        </w:rPr>
        <w:t>8:30</w:t>
      </w:r>
      <w:r>
        <w:rPr>
          <w:rFonts w:hint="eastAsia" w:ascii="微软雅黑" w:hAnsi="微软雅黑" w:eastAsia="微软雅黑" w:cs="微软雅黑"/>
          <w:i w:val="0"/>
          <w:caps w:val="0"/>
          <w:color w:val="auto"/>
          <w:spacing w:val="0"/>
          <w:sz w:val="21"/>
          <w:szCs w:val="21"/>
          <w:highlight w:val="none"/>
          <w:u w:val="none"/>
          <w:shd w:val="clear" w:fill="FFFFFF"/>
        </w:rPr>
        <w:t>-12</w:t>
      </w:r>
      <w:r>
        <w:rPr>
          <w:rFonts w:hint="eastAsia" w:ascii="微软雅黑" w:hAnsi="微软雅黑" w:eastAsia="微软雅黑" w:cs="微软雅黑"/>
          <w:i w:val="0"/>
          <w:caps w:val="0"/>
          <w:color w:val="auto"/>
          <w:spacing w:val="0"/>
          <w:sz w:val="21"/>
          <w:szCs w:val="21"/>
          <w:highlight w:val="none"/>
          <w:u w:val="none"/>
          <w:shd w:val="clear" w:fill="FFFFFF"/>
          <w:lang w:eastAsia="zh-CN"/>
        </w:rPr>
        <w:t>：</w:t>
      </w:r>
      <w:r>
        <w:rPr>
          <w:rFonts w:hint="eastAsia" w:ascii="微软雅黑" w:hAnsi="微软雅黑" w:eastAsia="微软雅黑" w:cs="微软雅黑"/>
          <w:i w:val="0"/>
          <w:caps w:val="0"/>
          <w:color w:val="auto"/>
          <w:spacing w:val="0"/>
          <w:sz w:val="21"/>
          <w:szCs w:val="21"/>
          <w:highlight w:val="none"/>
          <w:u w:val="none"/>
          <w:shd w:val="clear" w:fill="FFFFFF"/>
          <w:lang w:val="en-US" w:eastAsia="zh-CN"/>
        </w:rPr>
        <w:t>00</w:t>
      </w:r>
      <w:r>
        <w:rPr>
          <w:rFonts w:hint="eastAsia" w:ascii="微软雅黑" w:hAnsi="微软雅黑" w:eastAsia="微软雅黑" w:cs="微软雅黑"/>
          <w:i w:val="0"/>
          <w:caps w:val="0"/>
          <w:color w:val="auto"/>
          <w:spacing w:val="0"/>
          <w:sz w:val="21"/>
          <w:szCs w:val="21"/>
          <w:highlight w:val="none"/>
          <w:u w:val="none"/>
          <w:shd w:val="clear" w:fill="FFFFFF"/>
        </w:rPr>
        <w:t>-12</w:t>
      </w:r>
      <w:r>
        <w:rPr>
          <w:rFonts w:hint="eastAsia" w:ascii="微软雅黑" w:hAnsi="微软雅黑" w:eastAsia="微软雅黑" w:cs="微软雅黑"/>
          <w:i w:val="0"/>
          <w:caps w:val="0"/>
          <w:color w:val="auto"/>
          <w:spacing w:val="0"/>
          <w:sz w:val="21"/>
          <w:szCs w:val="21"/>
          <w:highlight w:val="none"/>
          <w:u w:val="none"/>
          <w:shd w:val="clear" w:fill="FFFFFF"/>
          <w:lang w:eastAsia="zh-CN"/>
        </w:rPr>
        <w:t>：</w:t>
      </w:r>
      <w:r>
        <w:rPr>
          <w:rFonts w:hint="eastAsia" w:ascii="微软雅黑" w:hAnsi="微软雅黑" w:eastAsia="微软雅黑" w:cs="微软雅黑"/>
          <w:i w:val="0"/>
          <w:caps w:val="0"/>
          <w:color w:val="auto"/>
          <w:spacing w:val="0"/>
          <w:sz w:val="21"/>
          <w:szCs w:val="21"/>
          <w:highlight w:val="none"/>
          <w:u w:val="none"/>
          <w:shd w:val="clear" w:fill="FFFFFF"/>
          <w:lang w:val="en-US" w:eastAsia="zh-CN"/>
        </w:rPr>
        <w:t>00</w:t>
      </w:r>
      <w:r>
        <w:rPr>
          <w:rFonts w:hint="eastAsia" w:ascii="微软雅黑" w:hAnsi="微软雅黑" w:eastAsia="微软雅黑" w:cs="微软雅黑"/>
          <w:i w:val="0"/>
          <w:caps w:val="0"/>
          <w:color w:val="auto"/>
          <w:spacing w:val="0"/>
          <w:sz w:val="21"/>
          <w:szCs w:val="21"/>
          <w:highlight w:val="none"/>
          <w:u w:val="none"/>
          <w:shd w:val="clear" w:fill="FFFFFF"/>
        </w:rPr>
        <w:t>-17</w:t>
      </w:r>
      <w:r>
        <w:rPr>
          <w:rFonts w:hint="eastAsia" w:ascii="微软雅黑" w:hAnsi="微软雅黑" w:eastAsia="微软雅黑" w:cs="微软雅黑"/>
          <w:i w:val="0"/>
          <w:caps w:val="0"/>
          <w:color w:val="auto"/>
          <w:spacing w:val="0"/>
          <w:sz w:val="21"/>
          <w:szCs w:val="21"/>
          <w:highlight w:val="none"/>
          <w:u w:val="none"/>
          <w:shd w:val="clear" w:fill="FFFFFF"/>
          <w:lang w:eastAsia="zh-CN"/>
        </w:rPr>
        <w:t>：</w:t>
      </w:r>
      <w:r>
        <w:rPr>
          <w:rFonts w:hint="eastAsia" w:ascii="微软雅黑" w:hAnsi="微软雅黑" w:eastAsia="微软雅黑" w:cs="微软雅黑"/>
          <w:i w:val="0"/>
          <w:caps w:val="0"/>
          <w:color w:val="auto"/>
          <w:spacing w:val="0"/>
          <w:sz w:val="21"/>
          <w:szCs w:val="21"/>
          <w:highlight w:val="none"/>
          <w:u w:val="none"/>
          <w:shd w:val="clear" w:fill="FFFFFF"/>
          <w:lang w:val="en-US" w:eastAsia="zh-CN"/>
        </w:rPr>
        <w:t>00</w:t>
      </w:r>
      <w:r>
        <w:rPr>
          <w:rFonts w:hint="eastAsia" w:ascii="微软雅黑" w:hAnsi="微软雅黑" w:eastAsia="微软雅黑" w:cs="微软雅黑"/>
          <w:i w:val="0"/>
          <w:caps w:val="0"/>
          <w:color w:val="auto"/>
          <w:spacing w:val="0"/>
          <w:sz w:val="21"/>
          <w:szCs w:val="21"/>
          <w:highlight w:val="none"/>
          <w:u w:val="none"/>
          <w:shd w:val="clear" w:fill="FFFFFF"/>
        </w:rPr>
        <w:t>（北京时间，法定节假日除外）</w:t>
      </w:r>
      <w:r>
        <w:rPr>
          <w:rFonts w:hint="eastAsia" w:ascii="微软雅黑" w:hAnsi="微软雅黑" w:eastAsia="微软雅黑" w:cs="微软雅黑"/>
          <w:i w:val="0"/>
          <w:caps w:val="0"/>
          <w:color w:val="auto"/>
          <w:spacing w:val="0"/>
          <w:sz w:val="21"/>
          <w:szCs w:val="21"/>
          <w:highlight w:val="none"/>
          <w:shd w:val="clear" w:fill="FFFFFF"/>
        </w:rPr>
        <w:t> </w:t>
      </w:r>
    </w:p>
    <w:p>
      <w:pPr>
        <w:numPr>
          <w:ilvl w:val="0"/>
          <w:numId w:val="0"/>
        </w:numPr>
        <w:snapToGrid w:val="0"/>
        <w:spacing w:line="360" w:lineRule="auto"/>
        <w:jc w:val="left"/>
        <w:rPr>
          <w:rFonts w:hint="eastAsia" w:ascii="微软雅黑" w:hAnsi="微软雅黑" w:eastAsia="微软雅黑" w:cs="微软雅黑"/>
          <w:b/>
          <w:i w:val="0"/>
          <w:caps w:val="0"/>
          <w:color w:val="auto"/>
          <w:spacing w:val="0"/>
          <w:sz w:val="21"/>
          <w:szCs w:val="21"/>
          <w:highlight w:val="none"/>
          <w:u w:val="none"/>
          <w:shd w:val="clear" w:fill="FFFFFF"/>
        </w:rPr>
      </w:pPr>
      <w:r>
        <w:rPr>
          <w:rFonts w:hint="eastAsia" w:ascii="微软雅黑" w:hAnsi="微软雅黑" w:eastAsia="微软雅黑" w:cs="微软雅黑"/>
          <w:i w:val="0"/>
          <w:caps w:val="0"/>
          <w:color w:val="auto"/>
          <w:spacing w:val="0"/>
          <w:sz w:val="21"/>
          <w:szCs w:val="21"/>
          <w:highlight w:val="none"/>
          <w:shd w:val="clear" w:fill="FFFFFF"/>
        </w:rPr>
        <w:t>地点：</w:t>
      </w:r>
      <w:r>
        <w:rPr>
          <w:rFonts w:hint="eastAsia" w:ascii="微软雅黑" w:hAnsi="微软雅黑" w:eastAsia="微软雅黑" w:cs="微软雅黑"/>
          <w:i w:val="0"/>
          <w:caps w:val="0"/>
          <w:color w:val="auto"/>
          <w:spacing w:val="0"/>
          <w:sz w:val="21"/>
          <w:szCs w:val="21"/>
          <w:highlight w:val="none"/>
          <w:u w:val="none"/>
          <w:shd w:val="clear" w:fill="FFFFFF"/>
          <w:lang w:eastAsia="zh-CN"/>
        </w:rPr>
        <w:t> 承德市公共资源交易中心（滦平县）新版网站（http://xzspj.chengde.gov.cn/ggzy/）</w:t>
      </w:r>
      <w:r>
        <w:rPr>
          <w:rFonts w:hint="eastAsia" w:ascii="微软雅黑" w:hAnsi="微软雅黑" w:eastAsia="微软雅黑" w:cs="微软雅黑"/>
          <w:szCs w:val="21"/>
          <w:highlight w:val="none"/>
          <w:shd w:val="clear" w:color="auto" w:fill="FFFFFF"/>
        </w:rPr>
        <w:t>下载文件</w:t>
      </w:r>
      <w:r>
        <w:rPr>
          <w:rFonts w:hint="eastAsia" w:ascii="微软雅黑" w:hAnsi="微软雅黑" w:eastAsia="微软雅黑" w:cs="微软雅黑"/>
          <w:i w:val="0"/>
          <w:caps w:val="0"/>
          <w:color w:val="auto"/>
          <w:spacing w:val="0"/>
          <w:sz w:val="21"/>
          <w:szCs w:val="21"/>
          <w:highlight w:val="none"/>
          <w:shd w:val="clear" w:fill="FFFFFF"/>
        </w:rPr>
        <w:br w:type="textWrapping"/>
      </w:r>
      <w:r>
        <w:rPr>
          <w:rFonts w:hint="eastAsia" w:ascii="微软雅黑" w:hAnsi="微软雅黑" w:eastAsia="微软雅黑" w:cs="微软雅黑"/>
          <w:i w:val="0"/>
          <w:caps w:val="0"/>
          <w:color w:val="auto"/>
          <w:spacing w:val="0"/>
          <w:sz w:val="21"/>
          <w:szCs w:val="21"/>
          <w:highlight w:val="none"/>
          <w:shd w:val="clear" w:fill="FFFFFF"/>
        </w:rPr>
        <w:t>方式：</w:t>
      </w:r>
      <w:r>
        <w:rPr>
          <w:rFonts w:hint="eastAsia" w:ascii="微软雅黑" w:hAnsi="微软雅黑" w:eastAsia="微软雅黑" w:cs="微软雅黑"/>
          <w:i w:val="0"/>
          <w:caps w:val="0"/>
          <w:color w:val="auto"/>
          <w:spacing w:val="0"/>
          <w:sz w:val="21"/>
          <w:szCs w:val="21"/>
          <w:highlight w:val="none"/>
          <w:u w:val="none"/>
          <w:shd w:val="clear" w:fill="FFFFFF"/>
        </w:rPr>
        <w:t> 其它</w:t>
      </w:r>
      <w:r>
        <w:rPr>
          <w:rFonts w:hint="eastAsia" w:ascii="微软雅黑" w:hAnsi="微软雅黑" w:eastAsia="微软雅黑" w:cs="微软雅黑"/>
          <w:i w:val="0"/>
          <w:caps w:val="0"/>
          <w:color w:val="auto"/>
          <w:spacing w:val="0"/>
          <w:sz w:val="21"/>
          <w:szCs w:val="21"/>
          <w:highlight w:val="none"/>
          <w:shd w:val="clear" w:fill="FFFFFF"/>
        </w:rPr>
        <w:br w:type="textWrapping"/>
      </w:r>
      <w:r>
        <w:rPr>
          <w:rFonts w:hint="eastAsia" w:ascii="微软雅黑" w:hAnsi="微软雅黑" w:eastAsia="微软雅黑" w:cs="微软雅黑"/>
          <w:i w:val="0"/>
          <w:caps w:val="0"/>
          <w:color w:val="auto"/>
          <w:spacing w:val="0"/>
          <w:sz w:val="21"/>
          <w:szCs w:val="21"/>
          <w:highlight w:val="none"/>
          <w:shd w:val="clear" w:fill="FFFFFF"/>
        </w:rPr>
        <w:t>售价：</w:t>
      </w:r>
      <w:r>
        <w:rPr>
          <w:rFonts w:hint="eastAsia" w:ascii="微软雅黑" w:hAnsi="微软雅黑" w:eastAsia="微软雅黑" w:cs="微软雅黑"/>
          <w:i w:val="0"/>
          <w:caps w:val="0"/>
          <w:color w:val="auto"/>
          <w:spacing w:val="0"/>
          <w:sz w:val="21"/>
          <w:szCs w:val="21"/>
          <w:highlight w:val="none"/>
          <w:u w:val="none"/>
          <w:shd w:val="clear" w:fill="FFFFFF"/>
        </w:rPr>
        <w:t> 0</w:t>
      </w:r>
      <w:r>
        <w:rPr>
          <w:rFonts w:hint="eastAsia" w:ascii="微软雅黑" w:hAnsi="微软雅黑" w:eastAsia="微软雅黑" w:cs="微软雅黑"/>
          <w:i w:val="0"/>
          <w:caps w:val="0"/>
          <w:color w:val="auto"/>
          <w:spacing w:val="0"/>
          <w:sz w:val="21"/>
          <w:szCs w:val="21"/>
          <w:highlight w:val="none"/>
          <w:shd w:val="clear" w:fill="FFFFFF"/>
        </w:rPr>
        <w:br w:type="textWrapping"/>
      </w:r>
      <w:r>
        <w:rPr>
          <w:rFonts w:hint="eastAsia" w:ascii="微软雅黑" w:hAnsi="微软雅黑" w:eastAsia="微软雅黑" w:cs="微软雅黑"/>
          <w:b/>
          <w:i w:val="0"/>
          <w:caps w:val="0"/>
          <w:color w:val="auto"/>
          <w:spacing w:val="0"/>
          <w:sz w:val="21"/>
          <w:szCs w:val="21"/>
          <w:highlight w:val="none"/>
          <w:u w:val="none"/>
          <w:shd w:val="clear" w:fill="FFFFFF"/>
        </w:rPr>
        <w:t>四、提交投标文件截止时间、开标时间和地点</w:t>
      </w:r>
    </w:p>
    <w:p>
      <w:pPr>
        <w:snapToGrid w:val="0"/>
        <w:spacing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b w:val="0"/>
          <w:i w:val="0"/>
          <w:caps w:val="0"/>
          <w:color w:val="auto"/>
          <w:spacing w:val="0"/>
          <w:sz w:val="21"/>
          <w:szCs w:val="21"/>
          <w:highlight w:val="none"/>
          <w:u w:val="none"/>
          <w:shd w:val="clear" w:fill="FFFFFF"/>
        </w:rPr>
        <w:t>202</w:t>
      </w:r>
      <w:r>
        <w:rPr>
          <w:rFonts w:hint="eastAsia" w:ascii="微软雅黑" w:hAnsi="微软雅黑" w:eastAsia="微软雅黑" w:cs="微软雅黑"/>
          <w:b w:val="0"/>
          <w:i w:val="0"/>
          <w:caps w:val="0"/>
          <w:color w:val="auto"/>
          <w:spacing w:val="0"/>
          <w:sz w:val="21"/>
          <w:szCs w:val="21"/>
          <w:highlight w:val="none"/>
          <w:u w:val="none"/>
          <w:shd w:val="clear" w:fill="FFFFFF"/>
          <w:lang w:val="en-US" w:eastAsia="zh-CN"/>
        </w:rPr>
        <w:t>3</w:t>
      </w:r>
      <w:r>
        <w:rPr>
          <w:rFonts w:hint="eastAsia" w:ascii="微软雅黑" w:hAnsi="微软雅黑" w:eastAsia="微软雅黑" w:cs="微软雅黑"/>
          <w:b w:val="0"/>
          <w:i w:val="0"/>
          <w:caps w:val="0"/>
          <w:color w:val="auto"/>
          <w:spacing w:val="0"/>
          <w:sz w:val="21"/>
          <w:szCs w:val="21"/>
          <w:highlight w:val="none"/>
          <w:u w:val="none"/>
          <w:shd w:val="clear" w:fill="FFFFFF"/>
        </w:rPr>
        <w:t>年</w:t>
      </w:r>
      <w:r>
        <w:rPr>
          <w:rFonts w:hint="eastAsia" w:ascii="微软雅黑" w:hAnsi="微软雅黑" w:eastAsia="微软雅黑" w:cs="微软雅黑"/>
          <w:b w:val="0"/>
          <w:i w:val="0"/>
          <w:caps w:val="0"/>
          <w:color w:val="auto"/>
          <w:spacing w:val="0"/>
          <w:sz w:val="21"/>
          <w:szCs w:val="21"/>
          <w:highlight w:val="none"/>
          <w:u w:val="none"/>
          <w:shd w:val="clear" w:fill="FFFFFF"/>
          <w:lang w:val="en-US" w:eastAsia="zh-CN"/>
        </w:rPr>
        <w:t>12</w:t>
      </w:r>
      <w:r>
        <w:rPr>
          <w:rFonts w:hint="eastAsia" w:ascii="微软雅黑" w:hAnsi="微软雅黑" w:eastAsia="微软雅黑" w:cs="微软雅黑"/>
          <w:b w:val="0"/>
          <w:i w:val="0"/>
          <w:caps w:val="0"/>
          <w:color w:val="auto"/>
          <w:spacing w:val="0"/>
          <w:sz w:val="21"/>
          <w:szCs w:val="21"/>
          <w:highlight w:val="none"/>
          <w:u w:val="none"/>
          <w:shd w:val="clear" w:fill="FFFFFF"/>
        </w:rPr>
        <w:t>月</w:t>
      </w:r>
      <w:r>
        <w:rPr>
          <w:rFonts w:hint="eastAsia" w:ascii="微软雅黑" w:hAnsi="微软雅黑" w:eastAsia="微软雅黑" w:cs="微软雅黑"/>
          <w:b w:val="0"/>
          <w:i w:val="0"/>
          <w:caps w:val="0"/>
          <w:color w:val="auto"/>
          <w:spacing w:val="0"/>
          <w:sz w:val="21"/>
          <w:szCs w:val="21"/>
          <w:highlight w:val="none"/>
          <w:u w:val="none"/>
          <w:shd w:val="clear" w:fill="FFFFFF"/>
          <w:lang w:val="en-US" w:eastAsia="zh-CN"/>
        </w:rPr>
        <w:t>4</w:t>
      </w:r>
      <w:r>
        <w:rPr>
          <w:rFonts w:hint="eastAsia" w:ascii="微软雅黑" w:hAnsi="微软雅黑" w:eastAsia="微软雅黑" w:cs="微软雅黑"/>
          <w:b w:val="0"/>
          <w:i w:val="0"/>
          <w:caps w:val="0"/>
          <w:color w:val="auto"/>
          <w:spacing w:val="0"/>
          <w:sz w:val="21"/>
          <w:szCs w:val="21"/>
          <w:highlight w:val="none"/>
          <w:u w:val="none"/>
          <w:shd w:val="clear" w:fill="FFFFFF"/>
        </w:rPr>
        <w:t>日</w:t>
      </w:r>
      <w:r>
        <w:rPr>
          <w:rFonts w:hint="eastAsia" w:ascii="微软雅黑" w:hAnsi="微软雅黑" w:eastAsia="微软雅黑" w:cs="微软雅黑"/>
          <w:b w:val="0"/>
          <w:i w:val="0"/>
          <w:caps w:val="0"/>
          <w:color w:val="auto"/>
          <w:spacing w:val="0"/>
          <w:sz w:val="21"/>
          <w:szCs w:val="21"/>
          <w:highlight w:val="none"/>
          <w:u w:val="none"/>
          <w:shd w:val="clear" w:fill="FFFFFF"/>
          <w:lang w:val="en-US" w:eastAsia="zh-CN"/>
        </w:rPr>
        <w:t>13</w:t>
      </w:r>
      <w:r>
        <w:rPr>
          <w:rFonts w:hint="eastAsia" w:ascii="微软雅黑" w:hAnsi="微软雅黑" w:eastAsia="微软雅黑" w:cs="微软雅黑"/>
          <w:b w:val="0"/>
          <w:i w:val="0"/>
          <w:caps w:val="0"/>
          <w:color w:val="auto"/>
          <w:spacing w:val="0"/>
          <w:sz w:val="21"/>
          <w:szCs w:val="21"/>
          <w:highlight w:val="none"/>
          <w:u w:val="none"/>
          <w:shd w:val="clear" w:fill="FFFFFF"/>
        </w:rPr>
        <w:t>点</w:t>
      </w:r>
      <w:r>
        <w:rPr>
          <w:rFonts w:hint="eastAsia" w:ascii="微软雅黑" w:hAnsi="微软雅黑" w:eastAsia="微软雅黑" w:cs="微软雅黑"/>
          <w:b w:val="0"/>
          <w:i w:val="0"/>
          <w:caps w:val="0"/>
          <w:color w:val="auto"/>
          <w:spacing w:val="0"/>
          <w:sz w:val="21"/>
          <w:szCs w:val="21"/>
          <w:highlight w:val="none"/>
          <w:u w:val="none"/>
          <w:shd w:val="clear" w:fill="FFFFFF"/>
          <w:lang w:val="en-US" w:eastAsia="zh-CN"/>
        </w:rPr>
        <w:t>3</w:t>
      </w:r>
      <w:r>
        <w:rPr>
          <w:rFonts w:hint="eastAsia" w:ascii="微软雅黑" w:hAnsi="微软雅黑" w:eastAsia="微软雅黑" w:cs="微软雅黑"/>
          <w:b w:val="0"/>
          <w:i w:val="0"/>
          <w:caps w:val="0"/>
          <w:color w:val="auto"/>
          <w:spacing w:val="0"/>
          <w:sz w:val="21"/>
          <w:szCs w:val="21"/>
          <w:highlight w:val="none"/>
          <w:u w:val="none"/>
          <w:shd w:val="clear" w:fill="FFFFFF"/>
        </w:rPr>
        <w:t>0分（北京时间） </w:t>
      </w:r>
      <w:r>
        <w:rPr>
          <w:rFonts w:hint="eastAsia" w:ascii="微软雅黑" w:hAnsi="微软雅黑" w:eastAsia="微软雅黑" w:cs="微软雅黑"/>
          <w:b/>
          <w:i w:val="0"/>
          <w:caps w:val="0"/>
          <w:color w:val="auto"/>
          <w:spacing w:val="0"/>
          <w:sz w:val="21"/>
          <w:szCs w:val="21"/>
          <w:highlight w:val="none"/>
          <w:u w:val="none"/>
          <w:shd w:val="clear" w:fill="FFFFFF"/>
        </w:rPr>
        <w:br w:type="textWrapping"/>
      </w:r>
      <w:r>
        <w:rPr>
          <w:rFonts w:hint="eastAsia" w:ascii="微软雅黑" w:hAnsi="微软雅黑" w:eastAsia="微软雅黑" w:cs="微软雅黑"/>
          <w:b w:val="0"/>
          <w:i w:val="0"/>
          <w:caps w:val="0"/>
          <w:color w:val="auto"/>
          <w:spacing w:val="0"/>
          <w:sz w:val="21"/>
          <w:szCs w:val="21"/>
          <w:highlight w:val="none"/>
          <w:u w:val="none"/>
          <w:shd w:val="clear" w:fill="FFFFFF"/>
        </w:rPr>
        <w:t>地点：</w:t>
      </w:r>
      <w:r>
        <w:rPr>
          <w:rFonts w:hint="eastAsia" w:ascii="微软雅黑" w:hAnsi="微软雅黑" w:eastAsia="微软雅黑" w:cs="微软雅黑"/>
          <w:b/>
          <w:i w:val="0"/>
          <w:caps w:val="0"/>
          <w:color w:val="auto"/>
          <w:spacing w:val="0"/>
          <w:sz w:val="21"/>
          <w:szCs w:val="21"/>
          <w:highlight w:val="none"/>
          <w:u w:val="none"/>
          <w:shd w:val="clear" w:fill="FFFFFF"/>
          <w:lang w:eastAsia="zh-CN"/>
        </w:rPr>
        <w:t> 全国公共资源交易中心网站（滦平）</w:t>
      </w:r>
      <w:r>
        <w:rPr>
          <w:rFonts w:hint="eastAsia" w:ascii="微软雅黑" w:hAnsi="微软雅黑" w:eastAsia="微软雅黑" w:cs="微软雅黑"/>
          <w:b/>
          <w:i w:val="0"/>
          <w:caps w:val="0"/>
          <w:color w:val="auto"/>
          <w:spacing w:val="0"/>
          <w:sz w:val="21"/>
          <w:szCs w:val="21"/>
          <w:highlight w:val="none"/>
          <w:u w:val="none"/>
          <w:shd w:val="clear" w:fill="FFFFFF"/>
        </w:rPr>
        <w:br w:type="textWrapping"/>
      </w:r>
      <w:r>
        <w:rPr>
          <w:rFonts w:hint="eastAsia" w:ascii="微软雅黑" w:hAnsi="微软雅黑" w:eastAsia="微软雅黑" w:cs="微软雅黑"/>
          <w:b/>
          <w:i w:val="0"/>
          <w:caps w:val="0"/>
          <w:color w:val="auto"/>
          <w:spacing w:val="0"/>
          <w:sz w:val="21"/>
          <w:szCs w:val="21"/>
          <w:highlight w:val="none"/>
          <w:u w:val="none"/>
          <w:shd w:val="clear" w:fill="FFFFFF"/>
        </w:rPr>
        <w:t>五、公告期限</w:t>
      </w:r>
      <w:r>
        <w:rPr>
          <w:rFonts w:hint="eastAsia" w:ascii="微软雅黑" w:hAnsi="微软雅黑" w:eastAsia="微软雅黑" w:cs="微软雅黑"/>
          <w:b/>
          <w:i w:val="0"/>
          <w:caps w:val="0"/>
          <w:color w:val="auto"/>
          <w:spacing w:val="0"/>
          <w:sz w:val="21"/>
          <w:szCs w:val="21"/>
          <w:highlight w:val="none"/>
          <w:u w:val="none"/>
          <w:shd w:val="clear" w:fill="FFFFFF"/>
        </w:rPr>
        <w:br w:type="textWrapping"/>
      </w:r>
      <w:r>
        <w:rPr>
          <w:rFonts w:hint="eastAsia" w:ascii="微软雅黑" w:hAnsi="微软雅黑" w:eastAsia="微软雅黑" w:cs="微软雅黑"/>
          <w:b w:val="0"/>
          <w:i w:val="0"/>
          <w:caps w:val="0"/>
          <w:color w:val="auto"/>
          <w:spacing w:val="0"/>
          <w:sz w:val="21"/>
          <w:szCs w:val="21"/>
          <w:highlight w:val="none"/>
          <w:u w:val="none"/>
          <w:shd w:val="clear" w:fill="FFFFFF"/>
        </w:rPr>
        <w:t>自本公告发布之日起5个工作日。</w:t>
      </w:r>
      <w:r>
        <w:rPr>
          <w:rFonts w:hint="eastAsia" w:ascii="微软雅黑" w:hAnsi="微软雅黑" w:eastAsia="微软雅黑" w:cs="微软雅黑"/>
          <w:b/>
          <w:i w:val="0"/>
          <w:caps w:val="0"/>
          <w:color w:val="auto"/>
          <w:spacing w:val="0"/>
          <w:sz w:val="21"/>
          <w:szCs w:val="21"/>
          <w:highlight w:val="none"/>
          <w:u w:val="none"/>
          <w:shd w:val="clear" w:fill="FFFFFF"/>
        </w:rPr>
        <w:br w:type="textWrapping"/>
      </w:r>
      <w:r>
        <w:rPr>
          <w:rFonts w:hint="eastAsia" w:ascii="微软雅黑" w:hAnsi="微软雅黑" w:eastAsia="微软雅黑" w:cs="微软雅黑"/>
          <w:b/>
          <w:i w:val="0"/>
          <w:caps w:val="0"/>
          <w:color w:val="auto"/>
          <w:spacing w:val="0"/>
          <w:sz w:val="21"/>
          <w:szCs w:val="21"/>
          <w:highlight w:val="none"/>
          <w:u w:val="none"/>
          <w:shd w:val="clear" w:fill="FFFFFF"/>
        </w:rPr>
        <w:t>六、其他补充事宜</w:t>
      </w:r>
      <w:r>
        <w:rPr>
          <w:rFonts w:hint="eastAsia" w:ascii="微软雅黑" w:hAnsi="微软雅黑" w:eastAsia="微软雅黑" w:cs="微软雅黑"/>
          <w:b/>
          <w:i w:val="0"/>
          <w:caps w:val="0"/>
          <w:color w:val="auto"/>
          <w:spacing w:val="0"/>
          <w:sz w:val="21"/>
          <w:szCs w:val="21"/>
          <w:highlight w:val="none"/>
          <w:u w:val="none"/>
          <w:shd w:val="clear" w:fill="FFFFFF"/>
        </w:rPr>
        <w:br w:type="textWrapping"/>
      </w:r>
      <w:r>
        <w:rPr>
          <w:rFonts w:hint="eastAsia" w:ascii="微软雅黑" w:hAnsi="微软雅黑" w:eastAsia="微软雅黑" w:cs="微软雅黑"/>
          <w:szCs w:val="21"/>
          <w:highlight w:val="none"/>
          <w:shd w:val="clear" w:color="auto" w:fill="FFFFFF"/>
          <w:lang w:val="en-US" w:eastAsia="zh-CN"/>
        </w:rPr>
        <w:t>本项目实行盲评，即投标文件的商务标、技术标分开制作，评审委员会按要求对商务标采取明标评审、对技术标采取暗标评审。</w:t>
      </w:r>
      <w:r>
        <w:rPr>
          <w:rFonts w:hint="eastAsia" w:ascii="微软雅黑" w:hAnsi="微软雅黑" w:eastAsia="微软雅黑" w:cs="微软雅黑"/>
          <w:i w:val="0"/>
          <w:caps w:val="0"/>
          <w:color w:val="auto"/>
          <w:spacing w:val="0"/>
          <w:sz w:val="21"/>
          <w:szCs w:val="21"/>
          <w:highlight w:val="none"/>
          <w:shd w:val="clear" w:fill="FFFFFF"/>
        </w:rPr>
        <w:br w:type="textWrapping"/>
      </w:r>
      <w:r>
        <w:rPr>
          <w:rFonts w:hint="eastAsia" w:ascii="微软雅黑" w:hAnsi="微软雅黑" w:eastAsia="微软雅黑" w:cs="微软雅黑"/>
          <w:b/>
          <w:i w:val="0"/>
          <w:caps w:val="0"/>
          <w:color w:val="auto"/>
          <w:spacing w:val="0"/>
          <w:sz w:val="21"/>
          <w:szCs w:val="21"/>
          <w:highlight w:val="none"/>
          <w:u w:val="none"/>
          <w:shd w:val="clear" w:fill="FFFFFF"/>
        </w:rPr>
        <w:t>七、对本次招标提出询问，请按以下方式联系。</w:t>
      </w:r>
      <w:r>
        <w:rPr>
          <w:rFonts w:hint="eastAsia" w:ascii="微软雅黑" w:hAnsi="微软雅黑" w:eastAsia="微软雅黑" w:cs="微软雅黑"/>
          <w:b/>
          <w:i w:val="0"/>
          <w:caps w:val="0"/>
          <w:color w:val="auto"/>
          <w:spacing w:val="0"/>
          <w:sz w:val="21"/>
          <w:szCs w:val="21"/>
          <w:highlight w:val="none"/>
          <w:u w:val="none"/>
          <w:shd w:val="clear" w:fill="FFFFFF"/>
        </w:rPr>
        <w:br w:type="textWrapping"/>
      </w:r>
      <w:r>
        <w:rPr>
          <w:rFonts w:hint="eastAsia" w:ascii="微软雅黑" w:hAnsi="微软雅黑" w:eastAsia="微软雅黑" w:cs="微软雅黑"/>
          <w:szCs w:val="21"/>
          <w:highlight w:val="none"/>
          <w:shd w:val="clear" w:color="auto" w:fill="FFFFFF"/>
        </w:rPr>
        <w:t>名 称： </w:t>
      </w:r>
      <w:r>
        <w:rPr>
          <w:rFonts w:hint="eastAsia" w:ascii="微软雅黑" w:hAnsi="微软雅黑" w:eastAsia="微软雅黑" w:cs="微软雅黑"/>
          <w:szCs w:val="21"/>
          <w:highlight w:val="none"/>
          <w:shd w:val="clear" w:color="auto" w:fill="FFFFFF"/>
          <w:lang w:eastAsia="zh-CN"/>
        </w:rPr>
        <w:t>滦平县公安局</w:t>
      </w:r>
    </w:p>
    <w:p>
      <w:pPr>
        <w:snapToGrid w:val="0"/>
        <w:spacing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地址：</w:t>
      </w:r>
      <w:r>
        <w:rPr>
          <w:rFonts w:hint="eastAsia" w:ascii="微软雅黑" w:hAnsi="微软雅黑" w:eastAsia="微软雅黑" w:cs="微软雅黑"/>
          <w:szCs w:val="21"/>
          <w:highlight w:val="none"/>
          <w:shd w:val="clear" w:color="auto" w:fill="FFFFFF"/>
          <w:lang w:eastAsia="zh-CN"/>
        </w:rPr>
        <w:t>承德市滦平县</w:t>
      </w:r>
    </w:p>
    <w:p>
      <w:pPr>
        <w:snapToGrid w:val="0"/>
        <w:spacing w:line="360" w:lineRule="auto"/>
        <w:jc w:val="left"/>
        <w:rPr>
          <w:rFonts w:hint="default" w:ascii="微软雅黑" w:hAnsi="微软雅黑" w:eastAsia="微软雅黑" w:cs="微软雅黑"/>
          <w:szCs w:val="21"/>
          <w:highlight w:val="none"/>
          <w:shd w:val="clear" w:color="auto" w:fill="FFFFFF"/>
          <w:lang w:val="en-US" w:eastAsia="zh-CN"/>
        </w:rPr>
      </w:pPr>
      <w:r>
        <w:rPr>
          <w:rFonts w:hint="eastAsia" w:ascii="微软雅黑" w:hAnsi="微软雅黑" w:eastAsia="微软雅黑" w:cs="微软雅黑"/>
          <w:szCs w:val="21"/>
          <w:highlight w:val="none"/>
          <w:shd w:val="clear" w:color="auto" w:fill="FFFFFF"/>
        </w:rPr>
        <w:t>联系方式：</w:t>
      </w:r>
      <w:r>
        <w:rPr>
          <w:rFonts w:hint="eastAsia" w:ascii="微软雅黑" w:hAnsi="微软雅黑" w:eastAsia="微软雅黑" w:cs="微软雅黑"/>
          <w:szCs w:val="21"/>
          <w:highlight w:val="none"/>
          <w:shd w:val="clear" w:color="auto" w:fill="FFFFFF"/>
          <w:lang w:eastAsia="zh-CN"/>
        </w:rPr>
        <w:t>李建东</w:t>
      </w:r>
      <w:r>
        <w:rPr>
          <w:rFonts w:hint="eastAsia" w:ascii="微软雅黑" w:hAnsi="微软雅黑" w:eastAsia="微软雅黑" w:cs="微软雅黑"/>
          <w:szCs w:val="21"/>
          <w:highlight w:val="none"/>
          <w:shd w:val="clear" w:color="auto" w:fill="FFFFFF"/>
          <w:lang w:val="en-US" w:eastAsia="zh-CN"/>
        </w:rPr>
        <w:t xml:space="preserve"> 0314-8582351</w:t>
      </w:r>
    </w:p>
    <w:p>
      <w:pPr>
        <w:snapToGrid w:val="0"/>
        <w:spacing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2.采购代理机构信息</w:t>
      </w:r>
    </w:p>
    <w:p>
      <w:pPr>
        <w:snapToGrid w:val="0"/>
        <w:spacing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名 称： </w:t>
      </w:r>
      <w:r>
        <w:rPr>
          <w:rFonts w:hint="eastAsia" w:ascii="微软雅黑" w:hAnsi="微软雅黑" w:eastAsia="微软雅黑" w:cs="微软雅黑"/>
          <w:szCs w:val="21"/>
          <w:highlight w:val="none"/>
          <w:shd w:val="clear" w:color="auto" w:fill="FFFFFF"/>
          <w:lang w:eastAsia="zh-CN"/>
        </w:rPr>
        <w:t>承德金贝壳建设项目管理有限公司</w:t>
      </w:r>
    </w:p>
    <w:p>
      <w:pPr>
        <w:snapToGrid w:val="0"/>
        <w:spacing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地　址： </w:t>
      </w:r>
      <w:r>
        <w:rPr>
          <w:rFonts w:hint="eastAsia" w:ascii="微软雅黑" w:hAnsi="微软雅黑" w:eastAsia="微软雅黑" w:cs="微软雅黑"/>
          <w:szCs w:val="21"/>
          <w:highlight w:val="none"/>
          <w:shd w:val="clear" w:color="auto" w:fill="FFFFFF"/>
          <w:lang w:eastAsia="zh-CN"/>
        </w:rPr>
        <w:t>承德市滦平县祥园小区C6号楼20号底商</w:t>
      </w:r>
    </w:p>
    <w:p>
      <w:pPr>
        <w:snapToGrid w:val="0"/>
        <w:spacing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联系方式：</w:t>
      </w:r>
      <w:r>
        <w:rPr>
          <w:rFonts w:hint="eastAsia" w:ascii="微软雅黑" w:hAnsi="微软雅黑" w:eastAsia="微软雅黑" w:cs="微软雅黑"/>
          <w:szCs w:val="21"/>
          <w:highlight w:val="none"/>
          <w:shd w:val="clear" w:color="auto" w:fill="FFFFFF"/>
          <w:lang w:eastAsia="zh-CN"/>
        </w:rPr>
        <w:t>梁超越</w:t>
      </w:r>
      <w:r>
        <w:rPr>
          <w:rFonts w:hint="eastAsia" w:ascii="微软雅黑" w:hAnsi="微软雅黑" w:eastAsia="微软雅黑" w:cs="微软雅黑"/>
          <w:szCs w:val="21"/>
          <w:highlight w:val="none"/>
          <w:shd w:val="clear" w:color="auto" w:fill="FFFFFF"/>
        </w:rPr>
        <w:t xml:space="preserve"> </w:t>
      </w:r>
      <w:r>
        <w:rPr>
          <w:rFonts w:hint="eastAsia" w:ascii="微软雅黑" w:hAnsi="微软雅黑" w:eastAsia="微软雅黑" w:cs="微软雅黑"/>
          <w:szCs w:val="21"/>
          <w:highlight w:val="none"/>
          <w:shd w:val="clear" w:color="auto" w:fill="FFFFFF"/>
          <w:lang w:eastAsia="zh-CN"/>
        </w:rPr>
        <w:t>0314-8581530</w:t>
      </w:r>
    </w:p>
    <w:p>
      <w:pPr>
        <w:snapToGrid w:val="0"/>
        <w:spacing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3.项目联系方式</w:t>
      </w:r>
    </w:p>
    <w:p>
      <w:pPr>
        <w:snapToGrid w:val="0"/>
        <w:spacing w:line="360" w:lineRule="auto"/>
        <w:jc w:val="left"/>
        <w:rPr>
          <w:rFonts w:hint="eastAsia" w:ascii="微软雅黑" w:hAnsi="微软雅黑" w:eastAsia="微软雅黑" w:cs="微软雅黑"/>
          <w:szCs w:val="21"/>
          <w:highlight w:val="none"/>
          <w:shd w:val="clear" w:color="auto" w:fill="FFFFFF"/>
          <w:lang w:eastAsia="zh-CN"/>
        </w:rPr>
      </w:pPr>
      <w:r>
        <w:rPr>
          <w:rFonts w:hint="eastAsia" w:ascii="微软雅黑" w:hAnsi="微软雅黑" w:eastAsia="微软雅黑" w:cs="微软雅黑"/>
          <w:szCs w:val="21"/>
          <w:highlight w:val="none"/>
          <w:shd w:val="clear" w:color="auto" w:fill="FFFFFF"/>
        </w:rPr>
        <w:t>项目联系人：</w:t>
      </w:r>
      <w:r>
        <w:rPr>
          <w:rFonts w:hint="eastAsia" w:ascii="微软雅黑" w:hAnsi="微软雅黑" w:eastAsia="微软雅黑" w:cs="微软雅黑"/>
          <w:szCs w:val="21"/>
          <w:highlight w:val="none"/>
          <w:shd w:val="clear" w:color="auto" w:fill="FFFFFF"/>
          <w:lang w:eastAsia="zh-CN"/>
        </w:rPr>
        <w:t>梁超越</w:t>
      </w:r>
    </w:p>
    <w:p>
      <w:pPr>
        <w:snapToGrid w:val="0"/>
        <w:spacing w:line="360" w:lineRule="auto"/>
        <w:jc w:val="left"/>
        <w:rPr>
          <w:rFonts w:hint="default" w:ascii="宋体" w:hAnsi="宋体" w:eastAsia="微软雅黑"/>
          <w:b/>
          <w:color w:val="auto"/>
          <w:spacing w:val="8"/>
          <w:sz w:val="21"/>
          <w:szCs w:val="21"/>
          <w:highlight w:val="none"/>
          <w:lang w:val="en-US" w:eastAsia="zh-CN"/>
        </w:rPr>
      </w:pPr>
      <w:r>
        <w:rPr>
          <w:rFonts w:hint="eastAsia" w:ascii="微软雅黑" w:hAnsi="微软雅黑" w:eastAsia="微软雅黑" w:cs="微软雅黑"/>
          <w:szCs w:val="21"/>
          <w:highlight w:val="none"/>
          <w:shd w:val="clear" w:color="auto" w:fill="FFFFFF"/>
        </w:rPr>
        <w:t>电　话： </w:t>
      </w:r>
      <w:r>
        <w:rPr>
          <w:rFonts w:hint="eastAsia" w:ascii="微软雅黑" w:hAnsi="微软雅黑" w:eastAsia="微软雅黑" w:cs="微软雅黑"/>
          <w:szCs w:val="21"/>
          <w:highlight w:val="none"/>
          <w:shd w:val="clear" w:color="auto" w:fill="FFFFFF"/>
          <w:lang w:eastAsia="zh-CN"/>
        </w:rPr>
        <w:t>0314-8581530</w:t>
      </w:r>
    </w:p>
    <w:p>
      <w:pPr>
        <w:snapToGrid w:val="0"/>
        <w:spacing w:line="360" w:lineRule="auto"/>
        <w:jc w:val="center"/>
        <w:outlineLvl w:val="0"/>
        <w:rPr>
          <w:rFonts w:hint="eastAsia" w:ascii="宋体" w:hAnsi="宋体"/>
          <w:b/>
          <w:color w:val="auto"/>
          <w:spacing w:val="8"/>
          <w:sz w:val="28"/>
          <w:highlight w:val="none"/>
        </w:rPr>
      </w:pPr>
      <w:r>
        <w:rPr>
          <w:rFonts w:hint="eastAsia" w:ascii="宋体" w:hAnsi="宋体"/>
          <w:b/>
          <w:color w:val="auto"/>
          <w:spacing w:val="8"/>
          <w:sz w:val="28"/>
          <w:highlight w:val="none"/>
        </w:rPr>
        <w:br w:type="page"/>
      </w:r>
      <w:bookmarkStart w:id="4" w:name="_Toc15009"/>
      <w:r>
        <w:rPr>
          <w:rStyle w:val="65"/>
          <w:rFonts w:hint="eastAsia"/>
          <w:color w:val="auto"/>
          <w:highlight w:val="none"/>
        </w:rPr>
        <w:t>第二部分  投标须知及前附表</w:t>
      </w:r>
      <w:bookmarkEnd w:id="4"/>
    </w:p>
    <w:p>
      <w:pPr>
        <w:numPr>
          <w:ilvl w:val="0"/>
          <w:numId w:val="3"/>
        </w:numPr>
        <w:snapToGrid w:val="0"/>
        <w:spacing w:line="360" w:lineRule="auto"/>
        <w:jc w:val="center"/>
        <w:rPr>
          <w:rFonts w:hint="eastAsia" w:ascii="宋体" w:hAnsi="宋体"/>
          <w:b/>
          <w:color w:val="auto"/>
          <w:spacing w:val="8"/>
          <w:sz w:val="28"/>
          <w:highlight w:val="none"/>
        </w:rPr>
      </w:pPr>
      <w:r>
        <w:rPr>
          <w:rFonts w:hint="eastAsia" w:ascii="宋体" w:hAnsi="宋体"/>
          <w:b/>
          <w:color w:val="auto"/>
          <w:spacing w:val="8"/>
          <w:sz w:val="28"/>
          <w:highlight w:val="none"/>
        </w:rPr>
        <w:t>前 附 表</w:t>
      </w:r>
    </w:p>
    <w:tbl>
      <w:tblPr>
        <w:tblStyle w:val="32"/>
        <w:tblW w:w="9503" w:type="dxa"/>
        <w:tblInd w:w="-7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1"/>
        <w:gridCol w:w="2037"/>
        <w:gridCol w:w="67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629"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项号</w:t>
            </w:r>
          </w:p>
        </w:tc>
        <w:tc>
          <w:tcPr>
            <w:tcW w:w="2037" w:type="dxa"/>
            <w:noWrap w:val="0"/>
            <w:vAlign w:val="center"/>
          </w:tcPr>
          <w:p>
            <w:pPr>
              <w:autoSpaceDE w:val="0"/>
              <w:autoSpaceDN w:val="0"/>
              <w:adjustRightInd w:val="0"/>
              <w:ind w:right="-107" w:rightChars="-51"/>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内容</w:t>
            </w:r>
          </w:p>
        </w:tc>
        <w:tc>
          <w:tcPr>
            <w:tcW w:w="6775" w:type="dxa"/>
            <w:noWrap w:val="0"/>
            <w:vAlign w:val="center"/>
          </w:tcPr>
          <w:p>
            <w:pPr>
              <w:autoSpaceDE w:val="0"/>
              <w:autoSpaceDN w:val="0"/>
              <w:adjustRightInd w:val="0"/>
              <w:jc w:val="center"/>
              <w:rPr>
                <w:rFonts w:ascii="宋体" w:hAnsi="宋体"/>
                <w:color w:val="auto"/>
                <w:spacing w:val="10"/>
                <w:kern w:val="0"/>
                <w:sz w:val="24"/>
                <w:szCs w:val="24"/>
                <w:highlight w:val="none"/>
              </w:rPr>
            </w:pPr>
            <w:r>
              <w:rPr>
                <w:rFonts w:hint="eastAsia" w:ascii="宋体" w:hAnsi="宋体"/>
                <w:color w:val="auto"/>
                <w:spacing w:val="10"/>
                <w:kern w:val="0"/>
                <w:sz w:val="24"/>
                <w:szCs w:val="24"/>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ascii="宋体" w:hAnsi="宋体"/>
                <w:color w:val="auto"/>
                <w:spacing w:val="10"/>
                <w:kern w:val="0"/>
                <w:sz w:val="24"/>
                <w:szCs w:val="24"/>
                <w:highlight w:val="none"/>
              </w:rPr>
              <w:t>1</w:t>
            </w:r>
          </w:p>
        </w:tc>
        <w:tc>
          <w:tcPr>
            <w:tcW w:w="2037" w:type="dxa"/>
            <w:noWrap w:val="0"/>
            <w:vAlign w:val="center"/>
          </w:tcPr>
          <w:p>
            <w:pPr>
              <w:autoSpaceDE w:val="0"/>
              <w:autoSpaceDN w:val="0"/>
              <w:adjustRightInd w:val="0"/>
              <w:rPr>
                <w:rFonts w:ascii="宋体" w:hAnsi="宋体"/>
                <w:color w:val="auto"/>
                <w:spacing w:val="10"/>
                <w:kern w:val="0"/>
                <w:sz w:val="24"/>
                <w:szCs w:val="24"/>
                <w:highlight w:val="none"/>
              </w:rPr>
            </w:pPr>
            <w:r>
              <w:rPr>
                <w:rFonts w:hint="eastAsia" w:ascii="宋体" w:hAnsi="宋体"/>
                <w:color w:val="auto"/>
                <w:spacing w:val="10"/>
                <w:kern w:val="0"/>
                <w:sz w:val="24"/>
                <w:szCs w:val="24"/>
                <w:highlight w:val="none"/>
              </w:rPr>
              <w:t>项目名称</w:t>
            </w:r>
          </w:p>
        </w:tc>
        <w:tc>
          <w:tcPr>
            <w:tcW w:w="6775" w:type="dxa"/>
            <w:noWrap w:val="0"/>
            <w:vAlign w:val="center"/>
          </w:tcPr>
          <w:p>
            <w:pPr>
              <w:spacing w:line="360" w:lineRule="auto"/>
              <w:rPr>
                <w:rFonts w:hint="eastAsia" w:ascii="宋体" w:hAnsi="宋体" w:eastAsia="宋体"/>
                <w:color w:val="auto"/>
                <w:spacing w:val="10"/>
                <w:kern w:val="0"/>
                <w:sz w:val="24"/>
                <w:szCs w:val="24"/>
                <w:highlight w:val="none"/>
                <w:lang w:eastAsia="zh-CN"/>
              </w:rPr>
            </w:pPr>
            <w:r>
              <w:rPr>
                <w:rFonts w:hint="eastAsia" w:ascii="宋体" w:hAnsi="宋体"/>
                <w:color w:val="auto"/>
                <w:spacing w:val="10"/>
                <w:kern w:val="0"/>
                <w:sz w:val="24"/>
                <w:szCs w:val="24"/>
                <w:highlight w:val="none"/>
                <w:lang w:eastAsia="zh-CN"/>
              </w:rPr>
              <w:t>滦平县公安局枪弹柜智能化改造项目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ascii="宋体" w:hAnsi="宋体"/>
                <w:color w:val="auto"/>
                <w:spacing w:val="10"/>
                <w:kern w:val="0"/>
                <w:sz w:val="24"/>
                <w:szCs w:val="24"/>
                <w:highlight w:val="none"/>
              </w:rPr>
              <w:t>2</w:t>
            </w:r>
          </w:p>
        </w:tc>
        <w:tc>
          <w:tcPr>
            <w:tcW w:w="2037" w:type="dxa"/>
            <w:noWrap w:val="0"/>
            <w:vAlign w:val="center"/>
          </w:tcPr>
          <w:p>
            <w:pPr>
              <w:autoSpaceDE w:val="0"/>
              <w:autoSpaceDN w:val="0"/>
              <w:adjustRightInd w:val="0"/>
              <w:rPr>
                <w:rFonts w:ascii="宋体" w:hAnsi="宋体"/>
                <w:color w:val="auto"/>
                <w:spacing w:val="10"/>
                <w:kern w:val="0"/>
                <w:sz w:val="24"/>
                <w:szCs w:val="24"/>
                <w:highlight w:val="none"/>
              </w:rPr>
            </w:pPr>
            <w:r>
              <w:rPr>
                <w:rFonts w:hint="eastAsia" w:ascii="宋体" w:hAnsi="宋体"/>
                <w:color w:val="auto"/>
                <w:spacing w:val="10"/>
                <w:kern w:val="0"/>
                <w:sz w:val="24"/>
                <w:szCs w:val="24"/>
                <w:highlight w:val="none"/>
                <w:lang w:val="en-US" w:eastAsia="zh-CN"/>
              </w:rPr>
              <w:t>服务</w:t>
            </w:r>
            <w:r>
              <w:rPr>
                <w:rFonts w:hint="eastAsia" w:ascii="宋体" w:hAnsi="宋体"/>
                <w:color w:val="auto"/>
                <w:spacing w:val="10"/>
                <w:kern w:val="0"/>
                <w:sz w:val="24"/>
                <w:szCs w:val="24"/>
                <w:highlight w:val="none"/>
              </w:rPr>
              <w:t>地点</w:t>
            </w:r>
          </w:p>
        </w:tc>
        <w:tc>
          <w:tcPr>
            <w:tcW w:w="6775" w:type="dxa"/>
            <w:noWrap w:val="0"/>
            <w:vAlign w:val="center"/>
          </w:tcPr>
          <w:p>
            <w:pPr>
              <w:autoSpaceDE w:val="0"/>
              <w:autoSpaceDN w:val="0"/>
              <w:adjustRightInd w:val="0"/>
              <w:rPr>
                <w:rFonts w:hint="eastAsia" w:ascii="宋体" w:hAnsi="宋体"/>
                <w:color w:val="auto"/>
                <w:spacing w:val="10"/>
                <w:kern w:val="0"/>
                <w:sz w:val="24"/>
                <w:szCs w:val="24"/>
                <w:highlight w:val="none"/>
              </w:rPr>
            </w:pPr>
            <w:r>
              <w:rPr>
                <w:rFonts w:hint="eastAsia" w:ascii="宋体" w:hAnsi="宋体"/>
                <w:color w:val="auto"/>
                <w:sz w:val="24"/>
                <w:szCs w:val="24"/>
                <w:highlight w:val="none"/>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3</w:t>
            </w:r>
          </w:p>
        </w:tc>
        <w:tc>
          <w:tcPr>
            <w:tcW w:w="2037" w:type="dxa"/>
            <w:noWrap w:val="0"/>
            <w:vAlign w:val="center"/>
          </w:tcPr>
          <w:p>
            <w:pPr>
              <w:autoSpaceDE w:val="0"/>
              <w:autoSpaceDN w:val="0"/>
              <w:adjustRightInd w:val="0"/>
              <w:rPr>
                <w:rFonts w:ascii="宋体" w:hAnsi="宋体"/>
                <w:color w:val="auto"/>
                <w:spacing w:val="10"/>
                <w:kern w:val="0"/>
                <w:sz w:val="24"/>
                <w:szCs w:val="24"/>
                <w:highlight w:val="none"/>
              </w:rPr>
            </w:pPr>
            <w:r>
              <w:rPr>
                <w:rFonts w:hint="eastAsia" w:ascii="宋体" w:hAnsi="宋体"/>
                <w:color w:val="auto"/>
                <w:spacing w:val="10"/>
                <w:kern w:val="0"/>
                <w:sz w:val="24"/>
                <w:szCs w:val="24"/>
                <w:highlight w:val="none"/>
                <w:lang w:val="en-US" w:eastAsia="zh-CN"/>
              </w:rPr>
              <w:t>服务</w:t>
            </w:r>
            <w:r>
              <w:rPr>
                <w:rFonts w:hint="eastAsia" w:ascii="宋体" w:hAnsi="宋体"/>
                <w:color w:val="auto"/>
                <w:spacing w:val="10"/>
                <w:kern w:val="0"/>
                <w:sz w:val="24"/>
                <w:szCs w:val="24"/>
                <w:highlight w:val="none"/>
              </w:rPr>
              <w:t>周期</w:t>
            </w:r>
          </w:p>
        </w:tc>
        <w:tc>
          <w:tcPr>
            <w:tcW w:w="6775" w:type="dxa"/>
            <w:noWrap w:val="0"/>
            <w:vAlign w:val="center"/>
          </w:tcPr>
          <w:p>
            <w:pPr>
              <w:autoSpaceDE w:val="0"/>
              <w:autoSpaceDN w:val="0"/>
              <w:adjustRightInd w:val="0"/>
              <w:rPr>
                <w:rFonts w:hint="default" w:ascii="宋体" w:hAnsi="宋体" w:eastAsia="宋体"/>
                <w:color w:val="auto"/>
                <w:spacing w:val="10"/>
                <w:kern w:val="0"/>
                <w:sz w:val="24"/>
                <w:szCs w:val="24"/>
                <w:highlight w:val="none"/>
                <w:lang w:val="en-US" w:eastAsia="zh-CN"/>
              </w:rPr>
            </w:pPr>
            <w:r>
              <w:rPr>
                <w:rFonts w:hint="eastAsia" w:ascii="宋体" w:hAnsi="宋体"/>
                <w:color w:val="auto"/>
                <w:spacing w:val="10"/>
                <w:kern w:val="0"/>
                <w:sz w:val="24"/>
                <w:szCs w:val="24"/>
                <w:highlight w:val="none"/>
                <w:lang w:val="en-US" w:eastAsia="zh-CN"/>
              </w:rPr>
              <w:t>合同签订后20天必须将所有采购的货物送达采购人指定地点，并负责安装调试完毕。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4"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4</w:t>
            </w:r>
          </w:p>
        </w:tc>
        <w:tc>
          <w:tcPr>
            <w:tcW w:w="2037" w:type="dxa"/>
            <w:noWrap w:val="0"/>
            <w:vAlign w:val="center"/>
          </w:tcPr>
          <w:p>
            <w:pPr>
              <w:autoSpaceDE w:val="0"/>
              <w:autoSpaceDN w:val="0"/>
              <w:adjustRightInd w:val="0"/>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预算金额及</w:t>
            </w:r>
          </w:p>
          <w:p>
            <w:pPr>
              <w:autoSpaceDE w:val="0"/>
              <w:autoSpaceDN w:val="0"/>
              <w:adjustRightInd w:val="0"/>
              <w:rPr>
                <w:rFonts w:ascii="宋体" w:hAnsi="宋体"/>
                <w:color w:val="auto"/>
                <w:spacing w:val="10"/>
                <w:kern w:val="0"/>
                <w:sz w:val="24"/>
                <w:szCs w:val="24"/>
                <w:highlight w:val="none"/>
              </w:rPr>
            </w:pPr>
            <w:r>
              <w:rPr>
                <w:rFonts w:hint="eastAsia" w:ascii="宋体" w:hAnsi="宋体"/>
                <w:color w:val="auto"/>
                <w:spacing w:val="10"/>
                <w:kern w:val="0"/>
                <w:sz w:val="24"/>
                <w:szCs w:val="24"/>
                <w:highlight w:val="none"/>
              </w:rPr>
              <w:t>投标保证金</w:t>
            </w:r>
          </w:p>
        </w:tc>
        <w:tc>
          <w:tcPr>
            <w:tcW w:w="6775" w:type="dxa"/>
            <w:noWrap w:val="0"/>
            <w:vAlign w:val="center"/>
          </w:tcPr>
          <w:p>
            <w:pPr>
              <w:autoSpaceDE w:val="0"/>
              <w:autoSpaceDN w:val="0"/>
              <w:adjustRightInd w:val="0"/>
              <w:spacing w:line="240" w:lineRule="auto"/>
              <w:rPr>
                <w:rFonts w:hint="eastAsia" w:ascii="宋体" w:hAnsi="宋体"/>
                <w:b/>
                <w:bCs/>
                <w:color w:val="auto"/>
                <w:spacing w:val="10"/>
                <w:sz w:val="24"/>
                <w:szCs w:val="24"/>
                <w:highlight w:val="none"/>
              </w:rPr>
            </w:pPr>
            <w:r>
              <w:rPr>
                <w:rFonts w:hint="eastAsia" w:ascii="宋体" w:hAnsi="宋体"/>
                <w:b/>
                <w:bCs/>
                <w:color w:val="auto"/>
                <w:spacing w:val="10"/>
                <w:sz w:val="24"/>
                <w:szCs w:val="24"/>
                <w:highlight w:val="none"/>
              </w:rPr>
              <w:t>采购金额：</w:t>
            </w:r>
            <w:r>
              <w:rPr>
                <w:rFonts w:hint="eastAsia" w:ascii="宋体" w:hAnsi="宋体"/>
                <w:b/>
                <w:bCs/>
                <w:color w:val="auto"/>
                <w:spacing w:val="10"/>
                <w:sz w:val="24"/>
                <w:szCs w:val="24"/>
                <w:highlight w:val="none"/>
                <w:lang w:val="en-US" w:eastAsia="zh-CN"/>
              </w:rPr>
              <w:t>485000.00元</w:t>
            </w:r>
            <w:r>
              <w:rPr>
                <w:rFonts w:hint="eastAsia" w:ascii="宋体" w:hAnsi="宋体"/>
                <w:b/>
                <w:bCs/>
                <w:color w:val="auto"/>
                <w:spacing w:val="10"/>
                <w:sz w:val="24"/>
                <w:szCs w:val="24"/>
                <w:highlight w:val="none"/>
              </w:rPr>
              <w:t>。</w:t>
            </w:r>
          </w:p>
          <w:p>
            <w:pPr>
              <w:autoSpaceDE w:val="0"/>
              <w:autoSpaceDN w:val="0"/>
              <w:adjustRightInd w:val="0"/>
              <w:spacing w:line="240" w:lineRule="auto"/>
              <w:ind w:left="0" w:leftChars="0" w:firstLine="0" w:firstLineChars="0"/>
              <w:jc w:val="left"/>
              <w:rPr>
                <w:rFonts w:hint="eastAsia" w:ascii="宋体" w:hAnsi="宋体" w:eastAsia="宋体"/>
                <w:color w:val="auto"/>
                <w:spacing w:val="10"/>
                <w:kern w:val="0"/>
                <w:sz w:val="24"/>
                <w:szCs w:val="24"/>
                <w:highlight w:val="none"/>
                <w:lang w:eastAsia="zh-CN"/>
              </w:rPr>
            </w:pPr>
            <w:r>
              <w:rPr>
                <w:rFonts w:hint="eastAsia" w:ascii="宋体" w:hAnsi="宋体"/>
                <w:b/>
                <w:bCs/>
                <w:color w:val="auto"/>
                <w:spacing w:val="10"/>
                <w:kern w:val="0"/>
                <w:sz w:val="24"/>
                <w:szCs w:val="24"/>
                <w:highlight w:val="none"/>
              </w:rPr>
              <w:t>投标保证金</w:t>
            </w:r>
            <w:r>
              <w:rPr>
                <w:rFonts w:hint="eastAsia" w:ascii="宋体" w:hAnsi="宋体"/>
                <w:b/>
                <w:bCs/>
                <w:color w:val="auto"/>
                <w:spacing w:val="10"/>
                <w:kern w:val="0"/>
                <w:sz w:val="24"/>
                <w:szCs w:val="24"/>
                <w:highlight w:val="none"/>
                <w:lang w:eastAsia="zh-CN"/>
              </w:rPr>
              <w:t>：</w:t>
            </w:r>
            <w:r>
              <w:rPr>
                <w:rFonts w:hint="eastAsia" w:ascii="宋体" w:hAnsi="宋体"/>
                <w:b/>
                <w:bCs/>
                <w:color w:val="auto"/>
                <w:spacing w:val="10"/>
                <w:kern w:val="0"/>
                <w:sz w:val="24"/>
                <w:szCs w:val="24"/>
                <w:highlight w:val="none"/>
                <w:lang w:val="en-US" w:eastAsia="zh-CN"/>
              </w:rPr>
              <w:t>依据河北省财政厅《关于规范政府采购保证金收取行为的通知》冀财采[2021]7号，本项目专门面向中小微企业采购，不再收取投标人投标保证金。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5</w:t>
            </w:r>
          </w:p>
        </w:tc>
        <w:tc>
          <w:tcPr>
            <w:tcW w:w="2037" w:type="dxa"/>
            <w:noWrap w:val="0"/>
            <w:vAlign w:val="center"/>
          </w:tcPr>
          <w:p>
            <w:pPr>
              <w:autoSpaceDE w:val="0"/>
              <w:autoSpaceDN w:val="0"/>
              <w:adjustRightInd w:val="0"/>
              <w:rPr>
                <w:rFonts w:ascii="宋体" w:hAnsi="宋体"/>
                <w:color w:val="auto"/>
                <w:spacing w:val="10"/>
                <w:kern w:val="0"/>
                <w:sz w:val="24"/>
                <w:szCs w:val="24"/>
                <w:highlight w:val="none"/>
              </w:rPr>
            </w:pPr>
            <w:r>
              <w:rPr>
                <w:rFonts w:hint="eastAsia" w:ascii="宋体" w:hAnsi="宋体"/>
                <w:color w:val="auto"/>
                <w:spacing w:val="10"/>
                <w:kern w:val="0"/>
                <w:sz w:val="24"/>
                <w:szCs w:val="24"/>
                <w:highlight w:val="none"/>
              </w:rPr>
              <w:t>招标范围</w:t>
            </w:r>
          </w:p>
        </w:tc>
        <w:tc>
          <w:tcPr>
            <w:tcW w:w="6775" w:type="dxa"/>
            <w:noWrap w:val="0"/>
            <w:vAlign w:val="center"/>
          </w:tcPr>
          <w:p>
            <w:pPr>
              <w:autoSpaceDE w:val="0"/>
              <w:autoSpaceDN w:val="0"/>
              <w:adjustRightInd w:val="0"/>
              <w:rPr>
                <w:rFonts w:hint="eastAsia" w:ascii="宋体" w:hAnsi="宋体" w:eastAsia="宋体"/>
                <w:color w:val="auto"/>
                <w:spacing w:val="10"/>
                <w:kern w:val="0"/>
                <w:sz w:val="24"/>
                <w:szCs w:val="24"/>
                <w:highlight w:val="none"/>
                <w:lang w:eastAsia="zh-CN"/>
              </w:rPr>
            </w:pPr>
            <w:r>
              <w:rPr>
                <w:rFonts w:hint="eastAsia" w:ascii="宋体" w:hAnsi="宋体" w:cs="宋体"/>
                <w:color w:val="auto"/>
                <w:kern w:val="0"/>
                <w:sz w:val="24"/>
                <w:szCs w:val="24"/>
                <w:highlight w:val="none"/>
              </w:rPr>
              <w:t>招标文件采购</w:t>
            </w:r>
            <w:r>
              <w:rPr>
                <w:rFonts w:hint="eastAsia" w:ascii="宋体" w:hAnsi="宋体" w:cs="宋体"/>
                <w:color w:val="auto"/>
                <w:kern w:val="0"/>
                <w:sz w:val="24"/>
                <w:szCs w:val="24"/>
                <w:highlight w:val="none"/>
                <w:lang w:val="en-US" w:eastAsia="zh-CN"/>
              </w:rPr>
              <w:t>清单内全部</w:t>
            </w:r>
            <w:r>
              <w:rPr>
                <w:rFonts w:hint="eastAsia" w:ascii="宋体" w:hAnsi="宋体" w:cs="宋体"/>
                <w:color w:val="auto"/>
                <w:kern w:val="0"/>
                <w:sz w:val="24"/>
                <w:szCs w:val="24"/>
                <w:highlight w:val="none"/>
              </w:rPr>
              <w:t>内容</w:t>
            </w:r>
            <w:r>
              <w:rPr>
                <w:rFonts w:hint="eastAsia" w:ascii="宋体" w:hAnsi="宋体" w:cs="宋体"/>
                <w:color w:val="auto"/>
                <w:kern w:val="0"/>
                <w:sz w:val="24"/>
                <w:szCs w:val="24"/>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6</w:t>
            </w:r>
          </w:p>
        </w:tc>
        <w:tc>
          <w:tcPr>
            <w:tcW w:w="2037" w:type="dxa"/>
            <w:noWrap w:val="0"/>
            <w:vAlign w:val="center"/>
          </w:tcPr>
          <w:p>
            <w:pPr>
              <w:pStyle w:val="19"/>
              <w:autoSpaceDE w:val="0"/>
              <w:autoSpaceDN w:val="0"/>
              <w:adjustRightInd w:val="0"/>
              <w:rPr>
                <w:rFonts w:hint="eastAsia" w:ascii="宋体" w:eastAsia="宋体"/>
                <w:bCs w:val="0"/>
                <w:snapToGrid/>
                <w:color w:val="auto"/>
                <w:spacing w:val="-10"/>
                <w:szCs w:val="24"/>
                <w:highlight w:val="none"/>
              </w:rPr>
            </w:pPr>
            <w:r>
              <w:rPr>
                <w:rFonts w:hint="eastAsia" w:ascii="宋体" w:eastAsia="宋体"/>
                <w:bCs w:val="0"/>
                <w:snapToGrid/>
                <w:color w:val="auto"/>
                <w:spacing w:val="-10"/>
                <w:szCs w:val="24"/>
                <w:highlight w:val="none"/>
              </w:rPr>
              <w:t>采购内容</w:t>
            </w:r>
          </w:p>
        </w:tc>
        <w:tc>
          <w:tcPr>
            <w:tcW w:w="6775" w:type="dxa"/>
            <w:noWrap w:val="0"/>
            <w:vAlign w:val="center"/>
          </w:tcPr>
          <w:p>
            <w:pPr>
              <w:autoSpaceDE w:val="0"/>
              <w:autoSpaceDN w:val="0"/>
              <w:adjustRightInd w:val="0"/>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详见采购清单</w:t>
            </w:r>
            <w:r>
              <w:rPr>
                <w:rFonts w:hint="eastAsia" w:ascii="宋体" w:hAnsi="宋体" w:cs="宋体"/>
                <w:color w:val="auto"/>
                <w:sz w:val="24"/>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7</w:t>
            </w:r>
          </w:p>
        </w:tc>
        <w:tc>
          <w:tcPr>
            <w:tcW w:w="2037" w:type="dxa"/>
            <w:noWrap w:val="0"/>
            <w:vAlign w:val="center"/>
          </w:tcPr>
          <w:p>
            <w:pPr>
              <w:autoSpaceDE w:val="0"/>
              <w:autoSpaceDN w:val="0"/>
              <w:adjustRightInd w:val="0"/>
              <w:rPr>
                <w:rFonts w:ascii="宋体" w:hAnsi="宋体"/>
                <w:color w:val="auto"/>
                <w:spacing w:val="10"/>
                <w:kern w:val="0"/>
                <w:sz w:val="24"/>
                <w:szCs w:val="24"/>
                <w:highlight w:val="none"/>
              </w:rPr>
            </w:pPr>
            <w:r>
              <w:rPr>
                <w:rFonts w:hint="eastAsia" w:ascii="宋体" w:hAnsi="宋体"/>
                <w:color w:val="auto"/>
                <w:spacing w:val="10"/>
                <w:kern w:val="0"/>
                <w:sz w:val="24"/>
                <w:szCs w:val="24"/>
                <w:highlight w:val="none"/>
              </w:rPr>
              <w:t>资金来源</w:t>
            </w:r>
          </w:p>
        </w:tc>
        <w:tc>
          <w:tcPr>
            <w:tcW w:w="6775" w:type="dxa"/>
            <w:noWrap w:val="0"/>
            <w:vAlign w:val="center"/>
          </w:tcPr>
          <w:p>
            <w:pPr>
              <w:autoSpaceDE w:val="0"/>
              <w:autoSpaceDN w:val="0"/>
              <w:adjustRightInd w:val="0"/>
              <w:rPr>
                <w:rFonts w:hint="eastAsia" w:ascii="宋体" w:hAnsi="宋体"/>
                <w:color w:val="auto"/>
                <w:spacing w:val="10"/>
                <w:kern w:val="0"/>
                <w:sz w:val="24"/>
                <w:szCs w:val="24"/>
                <w:highlight w:val="none"/>
              </w:rPr>
            </w:pPr>
            <w:r>
              <w:rPr>
                <w:rFonts w:hint="eastAsia" w:ascii="宋体" w:hAnsi="宋体"/>
                <w:color w:val="auto"/>
                <w:spacing w:val="10"/>
                <w:sz w:val="24"/>
                <w:szCs w:val="24"/>
                <w:highlight w:val="none"/>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8</w:t>
            </w:r>
          </w:p>
        </w:tc>
        <w:tc>
          <w:tcPr>
            <w:tcW w:w="2037" w:type="dxa"/>
            <w:noWrap w:val="0"/>
            <w:vAlign w:val="center"/>
          </w:tcPr>
          <w:p>
            <w:pPr>
              <w:autoSpaceDE w:val="0"/>
              <w:autoSpaceDN w:val="0"/>
              <w:adjustRightInd w:val="0"/>
              <w:rPr>
                <w:rFonts w:ascii="宋体" w:hAnsi="宋体"/>
                <w:color w:val="auto"/>
                <w:kern w:val="0"/>
                <w:sz w:val="24"/>
                <w:szCs w:val="24"/>
                <w:highlight w:val="none"/>
              </w:rPr>
            </w:pPr>
            <w:r>
              <w:rPr>
                <w:rFonts w:hint="eastAsia" w:ascii="宋体" w:hAnsi="宋体"/>
                <w:color w:val="auto"/>
                <w:kern w:val="0"/>
                <w:sz w:val="24"/>
                <w:szCs w:val="24"/>
                <w:highlight w:val="none"/>
              </w:rPr>
              <w:t>投标人资质要求</w:t>
            </w:r>
          </w:p>
        </w:tc>
        <w:tc>
          <w:tcPr>
            <w:tcW w:w="6775" w:type="dxa"/>
            <w:noWrap w:val="0"/>
            <w:vAlign w:val="center"/>
          </w:tcPr>
          <w:p>
            <w:pPr>
              <w:autoSpaceDE w:val="0"/>
              <w:autoSpaceDN w:val="0"/>
              <w:adjustRightInd w:val="0"/>
              <w:spacing w:line="360" w:lineRule="auto"/>
              <w:jc w:val="left"/>
              <w:rPr>
                <w:rStyle w:val="39"/>
                <w:rFonts w:hint="eastAsia"/>
                <w:color w:val="auto"/>
                <w:highlight w:val="none"/>
              </w:rPr>
            </w:pPr>
            <w:r>
              <w:rPr>
                <w:rFonts w:hint="eastAsia" w:ascii="宋体" w:hAnsi="宋体" w:cs="Times New Roman"/>
                <w:color w:val="auto"/>
                <w:spacing w:val="10"/>
                <w:kern w:val="0"/>
                <w:sz w:val="24"/>
                <w:szCs w:val="24"/>
                <w:highlight w:val="none"/>
              </w:rPr>
              <w:t>1.满足《中华人民共和国政府采购法》第二十二条规定；</w:t>
            </w:r>
            <w:r>
              <w:rPr>
                <w:rFonts w:hint="eastAsia" w:ascii="宋体" w:hAnsi="宋体" w:cs="Times New Roman"/>
                <w:color w:val="auto"/>
                <w:spacing w:val="10"/>
                <w:kern w:val="0"/>
                <w:sz w:val="24"/>
                <w:szCs w:val="24"/>
                <w:highlight w:val="none"/>
              </w:rPr>
              <w:br w:type="textWrapping"/>
            </w:r>
            <w:r>
              <w:rPr>
                <w:rFonts w:hint="eastAsia" w:ascii="宋体" w:hAnsi="宋体" w:cs="Times New Roman"/>
                <w:color w:val="auto"/>
                <w:spacing w:val="10"/>
                <w:kern w:val="0"/>
                <w:sz w:val="24"/>
                <w:szCs w:val="24"/>
                <w:highlight w:val="none"/>
              </w:rPr>
              <w:t>2.落实政府采购政策需满足的资格要求：本项目专门面向中小企业采购；</w:t>
            </w:r>
            <w:r>
              <w:rPr>
                <w:rFonts w:hint="eastAsia" w:ascii="宋体" w:hAnsi="宋体" w:cs="Times New Roman"/>
                <w:color w:val="auto"/>
                <w:spacing w:val="10"/>
                <w:kern w:val="0"/>
                <w:sz w:val="24"/>
                <w:szCs w:val="24"/>
                <w:highlight w:val="none"/>
              </w:rPr>
              <w:br w:type="textWrapping"/>
            </w:r>
            <w:r>
              <w:rPr>
                <w:rFonts w:hint="eastAsia" w:ascii="宋体" w:hAnsi="宋体" w:cs="Times New Roman"/>
                <w:color w:val="auto"/>
                <w:spacing w:val="10"/>
                <w:kern w:val="0"/>
                <w:sz w:val="24"/>
                <w:szCs w:val="24"/>
                <w:highlight w:val="none"/>
              </w:rPr>
              <w:t>3.本项目的特定资格要求：</w:t>
            </w:r>
            <w:r>
              <w:rPr>
                <w:rFonts w:hint="eastAsia" w:ascii="宋体" w:hAnsi="宋体" w:cs="Times New Roman"/>
                <w:color w:val="auto"/>
                <w:spacing w:val="10"/>
                <w:kern w:val="0"/>
                <w:sz w:val="24"/>
                <w:szCs w:val="24"/>
                <w:highlight w:val="none"/>
                <w:lang w:eastAsia="zh-CN"/>
              </w:rPr>
              <w:t>无</w:t>
            </w:r>
            <w:r>
              <w:rPr>
                <w:rFonts w:hint="eastAsia" w:ascii="宋体" w:hAnsi="宋体" w:cs="Times New Roman"/>
                <w:color w:val="auto"/>
                <w:spacing w:val="10"/>
                <w:kern w:val="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9</w:t>
            </w:r>
          </w:p>
        </w:tc>
        <w:tc>
          <w:tcPr>
            <w:tcW w:w="2037" w:type="dxa"/>
            <w:noWrap w:val="0"/>
            <w:vAlign w:val="center"/>
          </w:tcPr>
          <w:p>
            <w:pPr>
              <w:autoSpaceDE w:val="0"/>
              <w:autoSpaceDN w:val="0"/>
              <w:adjustRightInd w:val="0"/>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投标有效期</w:t>
            </w:r>
          </w:p>
        </w:tc>
        <w:tc>
          <w:tcPr>
            <w:tcW w:w="6775" w:type="dxa"/>
            <w:noWrap w:val="0"/>
            <w:vAlign w:val="center"/>
          </w:tcPr>
          <w:p>
            <w:pPr>
              <w:autoSpaceDE w:val="0"/>
              <w:autoSpaceDN w:val="0"/>
              <w:adjustRightInd w:val="0"/>
              <w:ind w:firstLine="70" w:firstLineChars="27"/>
              <w:rPr>
                <w:rFonts w:ascii="宋体" w:hAnsi="宋体"/>
                <w:color w:val="auto"/>
                <w:spacing w:val="10"/>
                <w:kern w:val="0"/>
                <w:sz w:val="24"/>
                <w:szCs w:val="24"/>
                <w:highlight w:val="none"/>
              </w:rPr>
            </w:pPr>
            <w:r>
              <w:rPr>
                <w:rFonts w:hint="eastAsia" w:ascii="宋体" w:hAnsi="宋体"/>
                <w:color w:val="auto"/>
                <w:spacing w:val="10"/>
                <w:kern w:val="0"/>
                <w:sz w:val="24"/>
                <w:szCs w:val="24"/>
                <w:highlight w:val="none"/>
              </w:rPr>
              <w:t>90日历天（从投标截止之日算起）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10</w:t>
            </w:r>
          </w:p>
        </w:tc>
        <w:tc>
          <w:tcPr>
            <w:tcW w:w="2037" w:type="dxa"/>
            <w:noWrap w:val="0"/>
            <w:vAlign w:val="center"/>
          </w:tcPr>
          <w:p>
            <w:pPr>
              <w:autoSpaceDE w:val="0"/>
              <w:autoSpaceDN w:val="0"/>
              <w:adjustRightInd w:val="0"/>
              <w:spacing w:line="240" w:lineRule="auto"/>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付款方式</w:t>
            </w:r>
          </w:p>
        </w:tc>
        <w:tc>
          <w:tcPr>
            <w:tcW w:w="6775" w:type="dxa"/>
            <w:noWrap w:val="0"/>
            <w:vAlign w:val="center"/>
          </w:tcPr>
          <w:p>
            <w:pPr>
              <w:spacing w:line="240" w:lineRule="auto"/>
              <w:rPr>
                <w:rFonts w:hint="eastAsia" w:ascii="宋体" w:hAnsi="宋体" w:eastAsia="宋体"/>
                <w:color w:val="auto"/>
                <w:spacing w:val="10"/>
                <w:kern w:val="0"/>
                <w:sz w:val="24"/>
                <w:szCs w:val="24"/>
                <w:highlight w:val="none"/>
                <w:lang w:eastAsia="zh-CN"/>
              </w:rPr>
            </w:pPr>
            <w:r>
              <w:rPr>
                <w:rFonts w:hint="eastAsia" w:ascii="宋体" w:hAnsi="宋体"/>
                <w:color w:val="auto"/>
                <w:spacing w:val="10"/>
                <w:kern w:val="0"/>
                <w:sz w:val="24"/>
                <w:szCs w:val="24"/>
                <w:highlight w:val="none"/>
                <w:lang w:eastAsia="zh-CN"/>
              </w:rPr>
              <w:t>见招标要求中商务条款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11</w:t>
            </w:r>
          </w:p>
        </w:tc>
        <w:tc>
          <w:tcPr>
            <w:tcW w:w="2037" w:type="dxa"/>
            <w:noWrap w:val="0"/>
            <w:vAlign w:val="center"/>
          </w:tcPr>
          <w:p>
            <w:pPr>
              <w:autoSpaceDE w:val="0"/>
              <w:autoSpaceDN w:val="0"/>
              <w:adjustRightInd w:val="0"/>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投标文件份数</w:t>
            </w:r>
          </w:p>
        </w:tc>
        <w:tc>
          <w:tcPr>
            <w:tcW w:w="6775" w:type="dxa"/>
            <w:noWrap w:val="0"/>
            <w:vAlign w:val="center"/>
          </w:tcPr>
          <w:p>
            <w:pPr>
              <w:autoSpaceDE w:val="0"/>
              <w:autoSpaceDN w:val="0"/>
              <w:adjustRightInd w:val="0"/>
              <w:rPr>
                <w:rFonts w:hint="default" w:ascii="宋体" w:hAnsi="宋体" w:eastAsia="宋体"/>
                <w:color w:val="auto"/>
                <w:spacing w:val="10"/>
                <w:kern w:val="0"/>
                <w:sz w:val="24"/>
                <w:szCs w:val="24"/>
                <w:highlight w:val="none"/>
                <w:lang w:val="en-US" w:eastAsia="zh-CN"/>
              </w:rPr>
            </w:pPr>
            <w:r>
              <w:rPr>
                <w:rFonts w:hint="eastAsia" w:ascii="宋体" w:hAnsi="宋体"/>
                <w:color w:val="auto"/>
                <w:spacing w:val="10"/>
                <w:kern w:val="0"/>
                <w:sz w:val="24"/>
                <w:szCs w:val="24"/>
                <w:highlight w:val="none"/>
                <w:lang w:val="en-US" w:eastAsia="zh-CN"/>
              </w:rPr>
              <w:t>电子投标文件一份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12</w:t>
            </w:r>
          </w:p>
        </w:tc>
        <w:tc>
          <w:tcPr>
            <w:tcW w:w="2037" w:type="dxa"/>
            <w:noWrap w:val="0"/>
            <w:vAlign w:val="center"/>
          </w:tcPr>
          <w:p>
            <w:pPr>
              <w:autoSpaceDE w:val="0"/>
              <w:autoSpaceDN w:val="0"/>
              <w:adjustRightInd w:val="0"/>
              <w:ind w:left="-86" w:leftChars="-41" w:right="-107" w:rightChars="-51"/>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投标文件提交地点</w:t>
            </w:r>
          </w:p>
          <w:p>
            <w:pPr>
              <w:autoSpaceDE w:val="0"/>
              <w:autoSpaceDN w:val="0"/>
              <w:adjustRightInd w:val="0"/>
              <w:ind w:left="-86" w:leftChars="-41" w:right="-107" w:rightChars="-51"/>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及截止时间</w:t>
            </w:r>
          </w:p>
        </w:tc>
        <w:tc>
          <w:tcPr>
            <w:tcW w:w="6775" w:type="dxa"/>
            <w:noWrap w:val="0"/>
            <w:vAlign w:val="center"/>
          </w:tcPr>
          <w:p>
            <w:pPr>
              <w:autoSpaceDE w:val="0"/>
              <w:autoSpaceDN w:val="0"/>
              <w:adjustRightInd w:val="0"/>
              <w:rPr>
                <w:rFonts w:ascii="宋体" w:hAnsi="宋体"/>
                <w:color w:val="auto"/>
                <w:spacing w:val="10"/>
                <w:kern w:val="0"/>
                <w:sz w:val="24"/>
                <w:szCs w:val="24"/>
                <w:highlight w:val="none"/>
              </w:rPr>
            </w:pPr>
            <w:r>
              <w:rPr>
                <w:rFonts w:ascii="宋体" w:hAnsi="宋体"/>
                <w:color w:val="auto"/>
                <w:spacing w:val="10"/>
                <w:kern w:val="0"/>
                <w:sz w:val="24"/>
                <w:szCs w:val="24"/>
                <w:highlight w:val="none"/>
              </w:rPr>
              <w:t>投标截止时间：</w:t>
            </w:r>
            <w:r>
              <w:rPr>
                <w:rFonts w:hint="eastAsia" w:ascii="宋体" w:hAnsi="宋体"/>
                <w:color w:val="auto"/>
                <w:spacing w:val="10"/>
                <w:kern w:val="0"/>
                <w:sz w:val="24"/>
                <w:szCs w:val="24"/>
                <w:highlight w:val="none"/>
              </w:rPr>
              <w:t>20</w:t>
            </w:r>
            <w:r>
              <w:rPr>
                <w:rFonts w:hint="eastAsia" w:ascii="宋体" w:hAnsi="宋体"/>
                <w:color w:val="auto"/>
                <w:spacing w:val="10"/>
                <w:kern w:val="0"/>
                <w:sz w:val="24"/>
                <w:szCs w:val="24"/>
                <w:highlight w:val="none"/>
                <w:lang w:val="en-US" w:eastAsia="zh-CN"/>
              </w:rPr>
              <w:t>23</w:t>
            </w:r>
            <w:r>
              <w:rPr>
                <w:rFonts w:hint="eastAsia" w:ascii="宋体" w:hAnsi="宋体"/>
                <w:color w:val="auto"/>
                <w:spacing w:val="10"/>
                <w:kern w:val="0"/>
                <w:sz w:val="24"/>
                <w:szCs w:val="24"/>
                <w:highlight w:val="none"/>
              </w:rPr>
              <w:t>年</w:t>
            </w:r>
            <w:r>
              <w:rPr>
                <w:rFonts w:hint="eastAsia" w:ascii="宋体" w:hAnsi="宋体"/>
                <w:color w:val="auto"/>
                <w:spacing w:val="10"/>
                <w:kern w:val="0"/>
                <w:sz w:val="24"/>
                <w:szCs w:val="24"/>
                <w:highlight w:val="none"/>
                <w:lang w:val="en-US" w:eastAsia="zh-CN"/>
              </w:rPr>
              <w:t>12</w:t>
            </w:r>
            <w:r>
              <w:rPr>
                <w:rFonts w:hint="eastAsia" w:ascii="宋体" w:hAnsi="宋体"/>
                <w:color w:val="auto"/>
                <w:spacing w:val="10"/>
                <w:kern w:val="0"/>
                <w:sz w:val="24"/>
                <w:szCs w:val="24"/>
                <w:highlight w:val="none"/>
              </w:rPr>
              <w:t>月</w:t>
            </w:r>
            <w:r>
              <w:rPr>
                <w:rFonts w:hint="eastAsia" w:ascii="宋体" w:hAnsi="宋体"/>
                <w:color w:val="auto"/>
                <w:spacing w:val="10"/>
                <w:kern w:val="0"/>
                <w:sz w:val="24"/>
                <w:szCs w:val="24"/>
                <w:highlight w:val="none"/>
                <w:lang w:val="en-US" w:eastAsia="zh-CN"/>
              </w:rPr>
              <w:t>4</w:t>
            </w:r>
            <w:r>
              <w:rPr>
                <w:rFonts w:hint="eastAsia" w:ascii="宋体" w:hAnsi="宋体"/>
                <w:color w:val="auto"/>
                <w:spacing w:val="10"/>
                <w:kern w:val="0"/>
                <w:sz w:val="24"/>
                <w:szCs w:val="24"/>
                <w:highlight w:val="none"/>
              </w:rPr>
              <w:t>日</w:t>
            </w:r>
            <w:r>
              <w:rPr>
                <w:rFonts w:hint="eastAsia" w:ascii="宋体" w:hAnsi="宋体"/>
                <w:color w:val="auto"/>
                <w:spacing w:val="10"/>
                <w:kern w:val="0"/>
                <w:sz w:val="24"/>
                <w:szCs w:val="24"/>
                <w:highlight w:val="none"/>
                <w:lang w:val="en-US" w:eastAsia="zh-CN"/>
              </w:rPr>
              <w:t>13</w:t>
            </w:r>
            <w:r>
              <w:rPr>
                <w:rFonts w:hint="eastAsia" w:ascii="宋体" w:hAnsi="宋体"/>
                <w:color w:val="auto"/>
                <w:spacing w:val="10"/>
                <w:kern w:val="0"/>
                <w:sz w:val="24"/>
                <w:szCs w:val="24"/>
                <w:highlight w:val="none"/>
              </w:rPr>
              <w:t>时</w:t>
            </w:r>
            <w:r>
              <w:rPr>
                <w:rFonts w:hint="eastAsia" w:ascii="宋体" w:hAnsi="宋体"/>
                <w:color w:val="auto"/>
                <w:spacing w:val="10"/>
                <w:kern w:val="0"/>
                <w:sz w:val="24"/>
                <w:szCs w:val="24"/>
                <w:highlight w:val="none"/>
                <w:lang w:val="en-US" w:eastAsia="zh-CN"/>
              </w:rPr>
              <w:t>3</w:t>
            </w:r>
            <w:r>
              <w:rPr>
                <w:rFonts w:hint="eastAsia" w:ascii="宋体" w:hAnsi="宋体"/>
                <w:color w:val="auto"/>
                <w:spacing w:val="10"/>
                <w:kern w:val="0"/>
                <w:sz w:val="24"/>
                <w:szCs w:val="24"/>
                <w:highlight w:val="none"/>
              </w:rPr>
              <w:t>0分</w:t>
            </w:r>
          </w:p>
          <w:p>
            <w:pPr>
              <w:autoSpaceDE w:val="0"/>
              <w:autoSpaceDN w:val="0"/>
              <w:adjustRightInd w:val="0"/>
              <w:rPr>
                <w:rFonts w:ascii="宋体" w:hAnsi="宋体"/>
                <w:color w:val="auto"/>
                <w:spacing w:val="10"/>
                <w:kern w:val="0"/>
                <w:sz w:val="24"/>
                <w:szCs w:val="24"/>
                <w:highlight w:val="none"/>
              </w:rPr>
            </w:pPr>
            <w:r>
              <w:rPr>
                <w:rFonts w:ascii="宋体" w:hAnsi="宋体"/>
                <w:color w:val="auto"/>
                <w:spacing w:val="10"/>
                <w:kern w:val="0"/>
                <w:sz w:val="24"/>
                <w:szCs w:val="24"/>
                <w:highlight w:val="none"/>
              </w:rPr>
              <w:t>投标文件递交地点：</w:t>
            </w:r>
            <w:r>
              <w:rPr>
                <w:rFonts w:hint="eastAsia" w:ascii="宋体" w:hAnsi="宋体"/>
                <w:color w:val="auto"/>
                <w:spacing w:val="10"/>
                <w:kern w:val="0"/>
                <w:sz w:val="24"/>
                <w:szCs w:val="24"/>
                <w:highlight w:val="none"/>
                <w:lang w:val="en-US" w:eastAsia="zh-CN"/>
              </w:rPr>
              <w:t>上传至全国公共资源交易平台（滦平县）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13</w:t>
            </w:r>
          </w:p>
        </w:tc>
        <w:tc>
          <w:tcPr>
            <w:tcW w:w="2037" w:type="dxa"/>
            <w:noWrap w:val="0"/>
            <w:vAlign w:val="center"/>
          </w:tcPr>
          <w:p>
            <w:pPr>
              <w:autoSpaceDE w:val="0"/>
              <w:autoSpaceDN w:val="0"/>
              <w:adjustRightInd w:val="0"/>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开标时间地点</w:t>
            </w:r>
          </w:p>
        </w:tc>
        <w:tc>
          <w:tcPr>
            <w:tcW w:w="6775" w:type="dxa"/>
            <w:noWrap w:val="0"/>
            <w:vAlign w:val="center"/>
          </w:tcPr>
          <w:p>
            <w:pPr>
              <w:autoSpaceDE w:val="0"/>
              <w:autoSpaceDN w:val="0"/>
              <w:adjustRightInd w:val="0"/>
              <w:spacing w:line="360" w:lineRule="exact"/>
              <w:rPr>
                <w:rFonts w:ascii="宋体" w:hAnsi="宋体"/>
                <w:color w:val="auto"/>
                <w:spacing w:val="10"/>
                <w:kern w:val="0"/>
                <w:sz w:val="24"/>
                <w:szCs w:val="24"/>
                <w:highlight w:val="none"/>
              </w:rPr>
            </w:pPr>
            <w:r>
              <w:rPr>
                <w:rFonts w:hint="eastAsia" w:ascii="宋体" w:hAnsi="宋体"/>
                <w:color w:val="auto"/>
                <w:spacing w:val="10"/>
                <w:kern w:val="0"/>
                <w:sz w:val="24"/>
                <w:szCs w:val="24"/>
                <w:highlight w:val="none"/>
              </w:rPr>
              <w:t>开标</w:t>
            </w:r>
            <w:r>
              <w:rPr>
                <w:rFonts w:ascii="宋体" w:hAnsi="宋体"/>
                <w:color w:val="auto"/>
                <w:spacing w:val="10"/>
                <w:kern w:val="0"/>
                <w:sz w:val="24"/>
                <w:szCs w:val="24"/>
                <w:highlight w:val="none"/>
              </w:rPr>
              <w:t>时间：</w:t>
            </w:r>
            <w:r>
              <w:rPr>
                <w:rFonts w:hint="eastAsia" w:ascii="宋体" w:hAnsi="宋体"/>
                <w:color w:val="auto"/>
                <w:spacing w:val="10"/>
                <w:kern w:val="0"/>
                <w:sz w:val="24"/>
                <w:szCs w:val="24"/>
                <w:highlight w:val="none"/>
              </w:rPr>
              <w:t>2</w:t>
            </w:r>
            <w:r>
              <w:rPr>
                <w:rFonts w:hint="eastAsia" w:ascii="宋体" w:hAnsi="宋体"/>
                <w:color w:val="auto"/>
                <w:spacing w:val="10"/>
                <w:kern w:val="0"/>
                <w:sz w:val="24"/>
                <w:szCs w:val="24"/>
                <w:highlight w:val="none"/>
                <w:lang w:val="en-US" w:eastAsia="zh-CN"/>
              </w:rPr>
              <w:t>023</w:t>
            </w:r>
            <w:r>
              <w:rPr>
                <w:rFonts w:hint="eastAsia" w:ascii="宋体" w:hAnsi="宋体"/>
                <w:color w:val="auto"/>
                <w:spacing w:val="10"/>
                <w:kern w:val="0"/>
                <w:sz w:val="24"/>
                <w:szCs w:val="24"/>
                <w:highlight w:val="none"/>
              </w:rPr>
              <w:t>年</w:t>
            </w:r>
            <w:r>
              <w:rPr>
                <w:rFonts w:hint="eastAsia" w:ascii="宋体" w:hAnsi="宋体"/>
                <w:color w:val="auto"/>
                <w:spacing w:val="10"/>
                <w:kern w:val="0"/>
                <w:sz w:val="24"/>
                <w:szCs w:val="24"/>
                <w:highlight w:val="none"/>
                <w:lang w:val="en-US" w:eastAsia="zh-CN"/>
              </w:rPr>
              <w:t>12</w:t>
            </w:r>
            <w:r>
              <w:rPr>
                <w:rFonts w:hint="eastAsia" w:ascii="宋体" w:hAnsi="宋体"/>
                <w:color w:val="auto"/>
                <w:spacing w:val="10"/>
                <w:kern w:val="0"/>
                <w:sz w:val="24"/>
                <w:szCs w:val="24"/>
                <w:highlight w:val="none"/>
              </w:rPr>
              <w:t>月</w:t>
            </w:r>
            <w:r>
              <w:rPr>
                <w:rFonts w:hint="eastAsia" w:ascii="宋体" w:hAnsi="宋体"/>
                <w:color w:val="auto"/>
                <w:spacing w:val="10"/>
                <w:kern w:val="0"/>
                <w:sz w:val="24"/>
                <w:szCs w:val="24"/>
                <w:highlight w:val="none"/>
                <w:lang w:val="en-US" w:eastAsia="zh-CN"/>
              </w:rPr>
              <w:t>4</w:t>
            </w:r>
            <w:r>
              <w:rPr>
                <w:rFonts w:hint="eastAsia" w:ascii="宋体" w:hAnsi="宋体"/>
                <w:color w:val="auto"/>
                <w:spacing w:val="10"/>
                <w:kern w:val="0"/>
                <w:sz w:val="24"/>
                <w:szCs w:val="24"/>
                <w:highlight w:val="none"/>
              </w:rPr>
              <w:t>日</w:t>
            </w:r>
            <w:r>
              <w:rPr>
                <w:rFonts w:hint="eastAsia" w:ascii="宋体" w:hAnsi="宋体"/>
                <w:color w:val="auto"/>
                <w:spacing w:val="10"/>
                <w:kern w:val="0"/>
                <w:sz w:val="24"/>
                <w:szCs w:val="24"/>
                <w:highlight w:val="none"/>
                <w:lang w:val="en-US" w:eastAsia="zh-CN"/>
              </w:rPr>
              <w:t>13</w:t>
            </w:r>
            <w:r>
              <w:rPr>
                <w:rFonts w:hint="eastAsia" w:ascii="宋体" w:hAnsi="宋体"/>
                <w:color w:val="auto"/>
                <w:spacing w:val="10"/>
                <w:kern w:val="0"/>
                <w:sz w:val="24"/>
                <w:szCs w:val="24"/>
                <w:highlight w:val="none"/>
              </w:rPr>
              <w:t>时</w:t>
            </w:r>
            <w:r>
              <w:rPr>
                <w:rFonts w:hint="eastAsia" w:ascii="宋体" w:hAnsi="宋体"/>
                <w:color w:val="auto"/>
                <w:spacing w:val="10"/>
                <w:kern w:val="0"/>
                <w:sz w:val="24"/>
                <w:szCs w:val="24"/>
                <w:highlight w:val="none"/>
                <w:lang w:val="en-US" w:eastAsia="zh-CN"/>
              </w:rPr>
              <w:t>3</w:t>
            </w:r>
            <w:r>
              <w:rPr>
                <w:rFonts w:hint="eastAsia" w:ascii="宋体" w:hAnsi="宋体"/>
                <w:color w:val="auto"/>
                <w:spacing w:val="10"/>
                <w:kern w:val="0"/>
                <w:sz w:val="24"/>
                <w:szCs w:val="24"/>
                <w:highlight w:val="none"/>
              </w:rPr>
              <w:t>0分</w:t>
            </w:r>
          </w:p>
          <w:p>
            <w:pPr>
              <w:autoSpaceDE w:val="0"/>
              <w:autoSpaceDN w:val="0"/>
              <w:adjustRightInd w:val="0"/>
              <w:spacing w:line="360" w:lineRule="exact"/>
              <w:rPr>
                <w:rFonts w:hint="default" w:ascii="宋体" w:hAnsi="宋体" w:eastAsia="宋体"/>
                <w:color w:val="auto"/>
                <w:spacing w:val="10"/>
                <w:kern w:val="0"/>
                <w:sz w:val="24"/>
                <w:szCs w:val="24"/>
                <w:highlight w:val="none"/>
                <w:lang w:val="en-US" w:eastAsia="zh-CN"/>
              </w:rPr>
            </w:pPr>
            <w:r>
              <w:rPr>
                <w:rFonts w:ascii="宋体" w:hAnsi="宋体"/>
                <w:color w:val="auto"/>
                <w:spacing w:val="10"/>
                <w:kern w:val="0"/>
                <w:sz w:val="24"/>
                <w:szCs w:val="24"/>
                <w:highlight w:val="none"/>
              </w:rPr>
              <w:t>开标地点：</w:t>
            </w:r>
            <w:r>
              <w:rPr>
                <w:rFonts w:hint="eastAsia" w:ascii="宋体" w:hAnsi="宋体"/>
                <w:color w:val="auto"/>
                <w:spacing w:val="10"/>
                <w:kern w:val="0"/>
                <w:sz w:val="24"/>
                <w:szCs w:val="24"/>
                <w:highlight w:val="none"/>
                <w:lang w:val="en-US" w:eastAsia="zh-CN"/>
              </w:rPr>
              <w:t>滦平县公共资源交易中心网上开标系统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14</w:t>
            </w:r>
          </w:p>
        </w:tc>
        <w:tc>
          <w:tcPr>
            <w:tcW w:w="2037" w:type="dxa"/>
            <w:noWrap w:val="0"/>
            <w:vAlign w:val="center"/>
          </w:tcPr>
          <w:p>
            <w:pPr>
              <w:autoSpaceDE w:val="0"/>
              <w:autoSpaceDN w:val="0"/>
              <w:adjustRightInd w:val="0"/>
              <w:rPr>
                <w:rFonts w:ascii="宋体" w:hAnsi="宋体"/>
                <w:color w:val="auto"/>
                <w:spacing w:val="-8"/>
                <w:kern w:val="0"/>
                <w:sz w:val="24"/>
                <w:szCs w:val="24"/>
                <w:highlight w:val="none"/>
              </w:rPr>
            </w:pPr>
            <w:r>
              <w:rPr>
                <w:rFonts w:hint="eastAsia" w:ascii="宋体" w:hAnsi="宋体"/>
                <w:color w:val="auto"/>
                <w:spacing w:val="-8"/>
                <w:kern w:val="0"/>
                <w:sz w:val="24"/>
                <w:szCs w:val="24"/>
                <w:highlight w:val="none"/>
              </w:rPr>
              <w:t>评标方法及标准</w:t>
            </w:r>
          </w:p>
        </w:tc>
        <w:tc>
          <w:tcPr>
            <w:tcW w:w="6775" w:type="dxa"/>
            <w:noWrap w:val="0"/>
            <w:vAlign w:val="center"/>
          </w:tcPr>
          <w:p>
            <w:pPr>
              <w:autoSpaceDE w:val="0"/>
              <w:autoSpaceDN w:val="0"/>
              <w:adjustRightInd w:val="0"/>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见</w:t>
            </w:r>
            <w:r>
              <w:rPr>
                <w:rFonts w:hint="eastAsia" w:ascii="宋体" w:hAnsi="宋体"/>
                <w:b/>
                <w:bCs/>
                <w:color w:val="auto"/>
                <w:spacing w:val="10"/>
                <w:kern w:val="0"/>
                <w:sz w:val="24"/>
                <w:szCs w:val="24"/>
                <w:highlight w:val="none"/>
              </w:rPr>
              <w:t>第六部分 评标原则及评标办法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6"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15</w:t>
            </w:r>
          </w:p>
        </w:tc>
        <w:tc>
          <w:tcPr>
            <w:tcW w:w="2037" w:type="dxa"/>
            <w:noWrap w:val="0"/>
            <w:vAlign w:val="center"/>
          </w:tcPr>
          <w:p>
            <w:pPr>
              <w:autoSpaceDE w:val="0"/>
              <w:autoSpaceDN w:val="0"/>
              <w:adjustRightInd w:val="0"/>
              <w:rPr>
                <w:rFonts w:hint="eastAsia" w:ascii="宋体" w:hAnsi="宋体"/>
                <w:color w:val="auto"/>
                <w:spacing w:val="-8"/>
                <w:kern w:val="0"/>
                <w:sz w:val="24"/>
                <w:szCs w:val="24"/>
                <w:highlight w:val="none"/>
              </w:rPr>
            </w:pPr>
            <w:r>
              <w:rPr>
                <w:rFonts w:ascii="宋体" w:hAnsi="宋体" w:cs="宋体"/>
                <w:bCs/>
                <w:sz w:val="24"/>
                <w:szCs w:val="24"/>
              </w:rPr>
              <w:t>本项目采购标的对应的中小企业划分标准所属行业</w:t>
            </w:r>
          </w:p>
        </w:tc>
        <w:tc>
          <w:tcPr>
            <w:tcW w:w="6775" w:type="dxa"/>
            <w:noWrap w:val="0"/>
            <w:vAlign w:val="center"/>
          </w:tcPr>
          <w:p>
            <w:pPr>
              <w:autoSpaceDE w:val="0"/>
              <w:autoSpaceDN w:val="0"/>
              <w:adjustRightInd w:val="0"/>
              <w:rPr>
                <w:rFonts w:hint="eastAsia" w:ascii="宋体" w:hAnsi="宋体"/>
                <w:color w:val="auto"/>
                <w:spacing w:val="10"/>
                <w:kern w:val="0"/>
                <w:sz w:val="24"/>
                <w:szCs w:val="24"/>
                <w:highlight w:val="none"/>
              </w:rPr>
            </w:pPr>
            <w:r>
              <w:rPr>
                <w:rFonts w:ascii="宋体" w:hAnsi="宋体" w:cs="宋体"/>
                <w:bCs/>
                <w:sz w:val="24"/>
                <w:szCs w:val="24"/>
              </w:rPr>
              <w:t>工业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7"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16</w:t>
            </w:r>
          </w:p>
        </w:tc>
        <w:tc>
          <w:tcPr>
            <w:tcW w:w="2037" w:type="dxa"/>
            <w:noWrap w:val="0"/>
            <w:vAlign w:val="center"/>
          </w:tcPr>
          <w:p>
            <w:pPr>
              <w:autoSpaceDE w:val="0"/>
              <w:autoSpaceDN w:val="0"/>
              <w:adjustRightInd w:val="0"/>
              <w:rPr>
                <w:rFonts w:hint="eastAsia" w:ascii="宋体" w:hAnsi="宋体"/>
                <w:color w:val="auto"/>
                <w:spacing w:val="-8"/>
                <w:sz w:val="24"/>
                <w:szCs w:val="24"/>
                <w:highlight w:val="none"/>
              </w:rPr>
            </w:pPr>
            <w:r>
              <w:rPr>
                <w:rFonts w:hint="eastAsia" w:ascii="宋体" w:hAnsi="宋体"/>
                <w:color w:val="auto"/>
                <w:spacing w:val="-8"/>
                <w:sz w:val="24"/>
                <w:szCs w:val="24"/>
                <w:highlight w:val="none"/>
              </w:rPr>
              <w:t>采购人名称</w:t>
            </w:r>
          </w:p>
          <w:p>
            <w:pPr>
              <w:autoSpaceDE w:val="0"/>
              <w:autoSpaceDN w:val="0"/>
              <w:adjustRightInd w:val="0"/>
              <w:rPr>
                <w:rFonts w:hint="eastAsia" w:ascii="宋体" w:hAnsi="宋体"/>
                <w:color w:val="auto"/>
                <w:spacing w:val="-8"/>
                <w:kern w:val="0"/>
                <w:sz w:val="24"/>
                <w:szCs w:val="24"/>
                <w:highlight w:val="none"/>
              </w:rPr>
            </w:pPr>
            <w:r>
              <w:rPr>
                <w:rFonts w:hint="eastAsia" w:ascii="宋体" w:hAnsi="宋体"/>
                <w:color w:val="auto"/>
                <w:spacing w:val="-8"/>
                <w:sz w:val="24"/>
                <w:szCs w:val="24"/>
                <w:highlight w:val="none"/>
              </w:rPr>
              <w:t>联系人、电话</w:t>
            </w:r>
          </w:p>
        </w:tc>
        <w:tc>
          <w:tcPr>
            <w:tcW w:w="6775" w:type="dxa"/>
            <w:noWrap w:val="0"/>
            <w:vAlign w:val="center"/>
          </w:tcPr>
          <w:p>
            <w:pPr>
              <w:autoSpaceDE w:val="0"/>
              <w:autoSpaceDN w:val="0"/>
              <w:adjustRightInd w:val="0"/>
              <w:rPr>
                <w:rFonts w:hint="eastAsia" w:ascii="宋体" w:hAnsi="宋体" w:eastAsia="宋体" w:cs="楷体_GB2312"/>
                <w:color w:val="auto"/>
                <w:spacing w:val="-10"/>
                <w:kern w:val="0"/>
                <w:sz w:val="24"/>
                <w:highlight w:val="none"/>
                <w:lang w:eastAsia="zh-CN"/>
              </w:rPr>
            </w:pPr>
            <w:r>
              <w:rPr>
                <w:rFonts w:hint="eastAsia" w:ascii="宋体" w:hAnsi="宋体" w:cs="楷体_GB2312"/>
                <w:color w:val="auto"/>
                <w:spacing w:val="-10"/>
                <w:kern w:val="0"/>
                <w:sz w:val="24"/>
                <w:highlight w:val="none"/>
              </w:rPr>
              <w:t>采购人名称：</w:t>
            </w:r>
            <w:r>
              <w:rPr>
                <w:rFonts w:hint="eastAsia" w:ascii="宋体" w:hAnsi="宋体" w:cs="楷体_GB2312"/>
                <w:color w:val="auto"/>
                <w:spacing w:val="-10"/>
                <w:kern w:val="0"/>
                <w:sz w:val="24"/>
                <w:highlight w:val="none"/>
                <w:lang w:eastAsia="zh-CN"/>
              </w:rPr>
              <w:t>滦平县公安局</w:t>
            </w:r>
          </w:p>
          <w:p>
            <w:pPr>
              <w:autoSpaceDE w:val="0"/>
              <w:autoSpaceDN w:val="0"/>
              <w:adjustRightInd w:val="0"/>
              <w:rPr>
                <w:rFonts w:hint="default" w:ascii="宋体" w:hAnsi="宋体" w:cs="楷体_GB2312"/>
                <w:color w:val="auto"/>
                <w:spacing w:val="-10"/>
                <w:kern w:val="0"/>
                <w:sz w:val="24"/>
                <w:highlight w:val="none"/>
                <w:lang w:val="en-US"/>
              </w:rPr>
            </w:pPr>
            <w:r>
              <w:rPr>
                <w:rFonts w:hint="eastAsia" w:ascii="宋体" w:hAnsi="宋体" w:cs="楷体_GB2312"/>
                <w:color w:val="auto"/>
                <w:spacing w:val="-10"/>
                <w:kern w:val="0"/>
                <w:sz w:val="24"/>
                <w:highlight w:val="none"/>
              </w:rPr>
              <w:t>联系人及电话：</w:t>
            </w:r>
            <w:r>
              <w:rPr>
                <w:rFonts w:hint="eastAsia" w:ascii="宋体" w:hAnsi="宋体" w:cs="楷体_GB2312"/>
                <w:color w:val="auto"/>
                <w:spacing w:val="-10"/>
                <w:kern w:val="0"/>
                <w:sz w:val="24"/>
                <w:highlight w:val="none"/>
                <w:lang w:eastAsia="zh-CN"/>
              </w:rPr>
              <w:t>李建东</w:t>
            </w:r>
            <w:r>
              <w:rPr>
                <w:rFonts w:hint="eastAsia" w:ascii="宋体" w:hAnsi="宋体" w:cs="楷体_GB2312"/>
                <w:color w:val="auto"/>
                <w:spacing w:val="-10"/>
                <w:kern w:val="0"/>
                <w:sz w:val="24"/>
                <w:highlight w:val="none"/>
                <w:lang w:val="en-US" w:eastAsia="zh-CN"/>
              </w:rPr>
              <w:t xml:space="preserve"> 0314-8582351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9" w:hRule="atLeast"/>
        </w:trPr>
        <w:tc>
          <w:tcPr>
            <w:tcW w:w="691" w:type="dxa"/>
            <w:noWrap w:val="0"/>
            <w:vAlign w:val="center"/>
          </w:tcPr>
          <w:p>
            <w:pPr>
              <w:autoSpaceDE w:val="0"/>
              <w:autoSpaceDN w:val="0"/>
              <w:adjustRightInd w:val="0"/>
              <w:jc w:val="center"/>
              <w:rPr>
                <w:rFonts w:hint="eastAsia" w:ascii="宋体" w:hAnsi="宋体"/>
                <w:color w:val="auto"/>
                <w:spacing w:val="10"/>
                <w:kern w:val="0"/>
                <w:sz w:val="24"/>
                <w:szCs w:val="24"/>
                <w:highlight w:val="none"/>
              </w:rPr>
            </w:pPr>
            <w:r>
              <w:rPr>
                <w:rFonts w:hint="eastAsia" w:ascii="宋体" w:hAnsi="宋体"/>
                <w:color w:val="auto"/>
                <w:spacing w:val="10"/>
                <w:kern w:val="0"/>
                <w:sz w:val="24"/>
                <w:szCs w:val="24"/>
                <w:highlight w:val="none"/>
              </w:rPr>
              <w:t>17</w:t>
            </w:r>
          </w:p>
        </w:tc>
        <w:tc>
          <w:tcPr>
            <w:tcW w:w="2037" w:type="dxa"/>
            <w:noWrap w:val="0"/>
            <w:vAlign w:val="center"/>
          </w:tcPr>
          <w:p>
            <w:pPr>
              <w:autoSpaceDE w:val="0"/>
              <w:autoSpaceDN w:val="0"/>
              <w:adjustRightInd w:val="0"/>
              <w:rPr>
                <w:rFonts w:hint="eastAsia" w:ascii="宋体" w:hAnsi="宋体" w:cs="宋体"/>
                <w:color w:val="auto"/>
                <w:spacing w:val="-8"/>
                <w:kern w:val="0"/>
                <w:sz w:val="24"/>
                <w:szCs w:val="24"/>
                <w:highlight w:val="none"/>
              </w:rPr>
            </w:pPr>
            <w:r>
              <w:rPr>
                <w:rFonts w:hint="eastAsia" w:ascii="宋体" w:hAnsi="宋体" w:cs="宋体"/>
                <w:color w:val="auto"/>
                <w:spacing w:val="-8"/>
                <w:kern w:val="0"/>
                <w:sz w:val="24"/>
                <w:szCs w:val="24"/>
                <w:highlight w:val="none"/>
              </w:rPr>
              <w:t>采购代理机构全称</w:t>
            </w:r>
          </w:p>
          <w:p>
            <w:pPr>
              <w:autoSpaceDE w:val="0"/>
              <w:autoSpaceDN w:val="0"/>
              <w:adjustRightInd w:val="0"/>
              <w:rPr>
                <w:rFonts w:hint="eastAsia" w:ascii="宋体" w:hAnsi="宋体"/>
                <w:color w:val="auto"/>
                <w:spacing w:val="-8"/>
                <w:kern w:val="0"/>
                <w:sz w:val="24"/>
                <w:szCs w:val="24"/>
                <w:highlight w:val="none"/>
              </w:rPr>
            </w:pPr>
            <w:r>
              <w:rPr>
                <w:rFonts w:hint="eastAsia" w:ascii="宋体" w:hAnsi="宋体"/>
                <w:color w:val="auto"/>
                <w:spacing w:val="-8"/>
                <w:sz w:val="24"/>
                <w:szCs w:val="24"/>
                <w:highlight w:val="none"/>
              </w:rPr>
              <w:t>联系人、电话</w:t>
            </w:r>
          </w:p>
        </w:tc>
        <w:tc>
          <w:tcPr>
            <w:tcW w:w="6775" w:type="dxa"/>
            <w:noWrap w:val="0"/>
            <w:vAlign w:val="center"/>
          </w:tcPr>
          <w:p>
            <w:pPr>
              <w:autoSpaceDE w:val="0"/>
              <w:autoSpaceDN w:val="0"/>
              <w:adjustRightInd w:val="0"/>
              <w:rPr>
                <w:rFonts w:hint="default" w:ascii="宋体" w:hAnsi="宋体" w:eastAsia="宋体"/>
                <w:color w:val="auto"/>
                <w:spacing w:val="10"/>
                <w:kern w:val="0"/>
                <w:sz w:val="24"/>
                <w:szCs w:val="24"/>
                <w:highlight w:val="none"/>
                <w:lang w:val="en-US" w:eastAsia="zh-CN"/>
              </w:rPr>
            </w:pPr>
            <w:r>
              <w:rPr>
                <w:rFonts w:hint="eastAsia" w:ascii="宋体" w:hAnsi="宋体"/>
                <w:color w:val="auto"/>
                <w:sz w:val="24"/>
                <w:szCs w:val="24"/>
                <w:highlight w:val="none"/>
                <w:lang w:eastAsia="zh-CN"/>
              </w:rPr>
              <w:t>承德金贝壳建设项目管理有限公司</w:t>
            </w:r>
            <w:r>
              <w:rPr>
                <w:rFonts w:hint="eastAsia" w:ascii="宋体" w:hAnsi="宋体" w:cs="宋体"/>
                <w:color w:val="auto"/>
                <w:kern w:val="0"/>
                <w:sz w:val="24"/>
                <w:szCs w:val="24"/>
                <w:highlight w:val="none"/>
              </w:rPr>
              <w:br w:type="textWrapping"/>
            </w:r>
            <w:r>
              <w:rPr>
                <w:rFonts w:ascii="宋体" w:hAnsi="宋体" w:cs="宋体"/>
                <w:color w:val="auto"/>
                <w:kern w:val="0"/>
                <w:sz w:val="24"/>
                <w:szCs w:val="24"/>
                <w:highlight w:val="none"/>
              </w:rPr>
              <w:t>联系人：</w:t>
            </w:r>
            <w:r>
              <w:rPr>
                <w:rFonts w:hint="eastAsia" w:ascii="宋体" w:hAnsi="宋体" w:cs="宋体"/>
                <w:color w:val="auto"/>
                <w:kern w:val="0"/>
                <w:sz w:val="24"/>
                <w:szCs w:val="24"/>
                <w:highlight w:val="none"/>
                <w:lang w:eastAsia="zh-CN"/>
              </w:rPr>
              <w:t>梁超越</w:t>
            </w:r>
            <w:r>
              <w:rPr>
                <w:rFonts w:ascii="宋体" w:hAnsi="宋体" w:cs="宋体"/>
                <w:color w:val="auto"/>
                <w:kern w:val="0"/>
                <w:sz w:val="24"/>
                <w:szCs w:val="24"/>
                <w:highlight w:val="none"/>
              </w:rPr>
              <w:t xml:space="preserve">   电话：</w:t>
            </w:r>
            <w:r>
              <w:rPr>
                <w:rFonts w:hint="eastAsia" w:ascii="宋体" w:hAnsi="宋体" w:cs="宋体"/>
                <w:color w:val="auto"/>
                <w:kern w:val="0"/>
                <w:sz w:val="24"/>
                <w:szCs w:val="24"/>
                <w:highlight w:val="none"/>
                <w:lang w:val="en-US" w:eastAsia="zh-CN"/>
              </w:rPr>
              <w:t>0314-8581530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691" w:type="dxa"/>
            <w:noWrap w:val="0"/>
            <w:vAlign w:val="center"/>
          </w:tcPr>
          <w:p>
            <w:pPr>
              <w:autoSpaceDE w:val="0"/>
              <w:autoSpaceDN w:val="0"/>
              <w:adjustRightInd w:val="0"/>
              <w:jc w:val="center"/>
              <w:rPr>
                <w:rFonts w:hint="eastAsia" w:ascii="宋体" w:hAnsi="宋体"/>
                <w:b/>
                <w:bCs/>
                <w:color w:val="auto"/>
                <w:spacing w:val="10"/>
                <w:kern w:val="0"/>
                <w:sz w:val="24"/>
                <w:szCs w:val="24"/>
                <w:highlight w:val="none"/>
              </w:rPr>
            </w:pPr>
            <w:r>
              <w:rPr>
                <w:rFonts w:hint="eastAsia" w:ascii="宋体" w:hAnsi="宋体"/>
                <w:b/>
                <w:bCs/>
                <w:color w:val="auto"/>
                <w:spacing w:val="10"/>
                <w:kern w:val="0"/>
                <w:sz w:val="24"/>
                <w:szCs w:val="24"/>
                <w:highlight w:val="none"/>
              </w:rPr>
              <w:t>18</w:t>
            </w:r>
          </w:p>
        </w:tc>
        <w:tc>
          <w:tcPr>
            <w:tcW w:w="2037" w:type="dxa"/>
            <w:noWrap w:val="0"/>
            <w:vAlign w:val="center"/>
          </w:tcPr>
          <w:p>
            <w:pPr>
              <w:autoSpaceDE w:val="0"/>
              <w:autoSpaceDN w:val="0"/>
              <w:adjustRightInd w:val="0"/>
              <w:rPr>
                <w:rFonts w:hint="eastAsia" w:ascii="宋体" w:hAnsi="宋体"/>
                <w:b/>
                <w:bCs/>
                <w:color w:val="auto"/>
                <w:spacing w:val="-8"/>
                <w:sz w:val="24"/>
                <w:szCs w:val="24"/>
                <w:highlight w:val="none"/>
              </w:rPr>
            </w:pPr>
            <w:r>
              <w:rPr>
                <w:rFonts w:hint="eastAsia" w:ascii="宋体" w:hAnsi="宋体"/>
                <w:b/>
                <w:bCs/>
                <w:color w:val="auto"/>
                <w:spacing w:val="-8"/>
                <w:sz w:val="24"/>
                <w:szCs w:val="24"/>
                <w:highlight w:val="none"/>
              </w:rPr>
              <w:t>其他</w:t>
            </w:r>
          </w:p>
        </w:tc>
        <w:tc>
          <w:tcPr>
            <w:tcW w:w="6775" w:type="dxa"/>
            <w:noWrap w:val="0"/>
            <w:vAlign w:val="center"/>
          </w:tcPr>
          <w:p>
            <w:pPr>
              <w:numPr>
                <w:ilvl w:val="0"/>
                <w:numId w:val="4"/>
              </w:numPr>
              <w:autoSpaceDE w:val="0"/>
              <w:autoSpaceDN w:val="0"/>
              <w:adjustRightInd w:val="0"/>
              <w:rPr>
                <w:rFonts w:hint="eastAsia" w:ascii="宋体" w:hAnsi="宋体"/>
                <w:b/>
                <w:bCs/>
                <w:color w:val="auto"/>
                <w:sz w:val="24"/>
                <w:szCs w:val="24"/>
                <w:highlight w:val="none"/>
              </w:rPr>
            </w:pPr>
            <w:r>
              <w:rPr>
                <w:rFonts w:hint="eastAsia" w:ascii="宋体" w:hAnsi="宋体"/>
                <w:b/>
                <w:bCs/>
                <w:color w:val="auto"/>
                <w:sz w:val="24"/>
                <w:szCs w:val="24"/>
                <w:highlight w:val="none"/>
              </w:rPr>
              <w:t>本项目严禁分包、转包；</w:t>
            </w:r>
          </w:p>
          <w:p>
            <w:pPr>
              <w:numPr>
                <w:ilvl w:val="0"/>
                <w:numId w:val="4"/>
              </w:numPr>
              <w:autoSpaceDE w:val="0"/>
              <w:autoSpaceDN w:val="0"/>
              <w:adjustRightInd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本项目招标代理费：由中标人支付</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中标人在领取中标通知书当日一次性缴纳。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691" w:type="dxa"/>
            <w:noWrap w:val="0"/>
            <w:vAlign w:val="center"/>
          </w:tcPr>
          <w:p>
            <w:pPr>
              <w:autoSpaceDE w:val="0"/>
              <w:autoSpaceDN w:val="0"/>
              <w:adjustRightInd w:val="0"/>
              <w:jc w:val="center"/>
              <w:rPr>
                <w:rFonts w:hint="default" w:ascii="宋体" w:hAnsi="宋体" w:eastAsia="宋体"/>
                <w:b/>
                <w:bCs/>
                <w:color w:val="auto"/>
                <w:spacing w:val="10"/>
                <w:kern w:val="0"/>
                <w:sz w:val="24"/>
                <w:szCs w:val="24"/>
                <w:highlight w:val="none"/>
                <w:lang w:val="en-US" w:eastAsia="zh-CN"/>
              </w:rPr>
            </w:pPr>
            <w:r>
              <w:rPr>
                <w:rFonts w:hint="eastAsia" w:ascii="宋体" w:hAnsi="宋体"/>
                <w:b/>
                <w:bCs/>
                <w:color w:val="auto"/>
                <w:spacing w:val="10"/>
                <w:kern w:val="0"/>
                <w:sz w:val="24"/>
                <w:szCs w:val="24"/>
                <w:highlight w:val="none"/>
                <w:lang w:val="en-US" w:eastAsia="zh-CN"/>
              </w:rPr>
              <w:t>19</w:t>
            </w:r>
          </w:p>
        </w:tc>
        <w:tc>
          <w:tcPr>
            <w:tcW w:w="2037" w:type="dxa"/>
            <w:noWrap w:val="0"/>
            <w:vAlign w:val="center"/>
          </w:tcPr>
          <w:p>
            <w:pPr>
              <w:autoSpaceDE w:val="0"/>
              <w:autoSpaceDN w:val="0"/>
              <w:adjustRightInd w:val="0"/>
              <w:rPr>
                <w:rFonts w:hint="eastAsia" w:ascii="宋体" w:hAnsi="宋体" w:eastAsia="宋体"/>
                <w:b/>
                <w:bCs/>
                <w:color w:val="auto"/>
                <w:spacing w:val="-8"/>
                <w:sz w:val="24"/>
                <w:szCs w:val="24"/>
                <w:highlight w:val="none"/>
                <w:lang w:eastAsia="zh-CN"/>
              </w:rPr>
            </w:pPr>
            <w:r>
              <w:rPr>
                <w:rFonts w:hint="eastAsia" w:ascii="宋体" w:hAnsi="宋体"/>
                <w:b/>
                <w:bCs/>
                <w:color w:val="auto"/>
                <w:spacing w:val="-8"/>
                <w:sz w:val="24"/>
                <w:szCs w:val="24"/>
                <w:highlight w:val="none"/>
                <w:lang w:eastAsia="zh-CN"/>
              </w:rPr>
              <w:t>备注</w:t>
            </w:r>
          </w:p>
        </w:tc>
        <w:tc>
          <w:tcPr>
            <w:tcW w:w="6775" w:type="dxa"/>
            <w:noWrap w:val="0"/>
            <w:vAlign w:val="center"/>
          </w:tcPr>
          <w:p>
            <w:pPr>
              <w:pStyle w:val="7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0" w:lineRule="atLeast"/>
              <w:ind w:left="0" w:right="0" w:firstLine="0" w:firstLineChars="0"/>
              <w:jc w:val="both"/>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投标文件分为明标商务标和暗标技术标两个部分。商务标、技术标要分开制作，对容易产生歧义、能明显区分投标人的内容，要放入商务标部分，不能放入技术标部分；评标委员会依照招标文件的规定对投标文件技术标部分进行评审。</w:t>
            </w:r>
          </w:p>
          <w:p>
            <w:pPr>
              <w:pStyle w:val="7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0" w:lineRule="atLeast"/>
              <w:ind w:left="0" w:right="0" w:firstLine="0" w:firstLineChars="0"/>
              <w:jc w:val="both"/>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暗标技术标具体编制要求：统一投标文件页面大小和颜色，统一封面、封底和字体、行距、页边距、页眉、页脚等要求，投标文件应严格遵守招标文件规定的统一格式，不得出现招标文件统一要求以外的其他标识和能够识别投标人的信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firstLine="0" w:firstLineChars="0"/>
              <w:jc w:val="both"/>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备注：若投标人未按招标文件规定格式（暗标部分）填写及编制相关内容，则</w:t>
            </w:r>
            <w:r>
              <w:rPr>
                <w:rFonts w:hint="eastAsia" w:ascii="宋体" w:hAnsi="宋体" w:cs="Times New Roman"/>
                <w:b/>
                <w:bCs/>
                <w:color w:val="auto"/>
                <w:kern w:val="2"/>
                <w:sz w:val="24"/>
                <w:szCs w:val="24"/>
                <w:highlight w:val="none"/>
                <w:lang w:val="en-US" w:eastAsia="zh-CN" w:bidi="ar-SA"/>
              </w:rPr>
              <w:t>认定为投标无效</w:t>
            </w:r>
            <w:r>
              <w:rPr>
                <w:rFonts w:hint="eastAsia" w:ascii="宋体" w:hAnsi="宋体" w:eastAsia="宋体" w:cs="Times New Roman"/>
                <w:b/>
                <w:bCs/>
                <w:color w:val="auto"/>
                <w:kern w:val="2"/>
                <w:sz w:val="24"/>
                <w:szCs w:val="24"/>
                <w:highlight w:val="none"/>
                <w:lang w:val="en-US" w:eastAsia="zh-CN" w:bidi="ar-SA"/>
              </w:rPr>
              <w:t>。</w:t>
            </w:r>
          </w:p>
          <w:p>
            <w:pPr>
              <w:pStyle w:val="7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0" w:lineRule="atLeast"/>
              <w:ind w:left="0" w:right="0" w:firstLine="0" w:firstLineChars="0"/>
              <w:jc w:val="both"/>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投标文件格式中“技术部分”为暗标。 技术标纳入暗标的编制要求：</w:t>
            </w:r>
          </w:p>
          <w:p>
            <w:pPr>
              <w:pStyle w:val="7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0" w:lineRule="atLeast"/>
              <w:ind w:left="0" w:right="0" w:firstLine="0" w:firstLineChars="0"/>
              <w:jc w:val="both"/>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1、排版要求：</w:t>
            </w:r>
          </w:p>
          <w:p>
            <w:pPr>
              <w:pStyle w:val="7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0" w:lineRule="atLeast"/>
              <w:ind w:left="0" w:right="0" w:firstLine="0" w:firstLineChars="0"/>
              <w:jc w:val="both"/>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①字体颜色要求：黑色；</w:t>
            </w:r>
          </w:p>
          <w:p>
            <w:pPr>
              <w:pStyle w:val="7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0" w:lineRule="atLeast"/>
              <w:ind w:left="0" w:right="0" w:firstLine="0" w:firstLineChars="0"/>
              <w:jc w:val="both"/>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②排版要求：正文行间距为 1.5 倍行距；页边距上、下、左、右各为 2.5 厘米；字体间字符间距、位置为标准。</w:t>
            </w:r>
          </w:p>
          <w:p>
            <w:pPr>
              <w:pStyle w:val="7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0" w:lineRule="atLeast"/>
              <w:ind w:left="0" w:right="0" w:firstLine="0" w:firstLineChars="0"/>
              <w:jc w:val="both"/>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2、图表大小、字体要求：正文字体为宋体四号 ，所有字体不得加粗、加黑，字号不得出现明显区别于其他投标单位的字号。</w:t>
            </w:r>
          </w:p>
          <w:p>
            <w:pPr>
              <w:pStyle w:val="7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0" w:lineRule="atLeast"/>
              <w:ind w:left="0" w:right="0" w:firstLine="0" w:firstLineChars="0"/>
              <w:jc w:val="both"/>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3、任何情况下，暗标中不得出现任何涂改、行间插字或删除痕迹、彩色字体和彩色图片等内容。</w:t>
            </w:r>
          </w:p>
          <w:p>
            <w:pPr>
              <w:pStyle w:val="7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0" w:lineRule="atLeast"/>
              <w:ind w:left="0" w:right="0" w:firstLine="0" w:firstLineChars="0"/>
              <w:jc w:val="both"/>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4、投标人不得在暗标中出现具体的投标人名称、投标人地址、人员名称及能判断出投标人的字符、徽标等，不得在暗标上作任何标志。版面整洁、字迹清楚、不得涂改。暗标本封面及内容不得做任何标识或暗示该投标人单位名称或人员名称的标记，也不得采取任何不符合常规，有别于其他投标人的特殊做法。暗标中 不得明示的部分以“******”（六个*）代替。</w:t>
            </w:r>
          </w:p>
          <w:p>
            <w:pPr>
              <w:numPr>
                <w:ilvl w:val="0"/>
                <w:numId w:val="0"/>
              </w:numPr>
              <w:autoSpaceDE w:val="0"/>
              <w:autoSpaceDN w:val="0"/>
              <w:adjustRightInd w:val="0"/>
              <w:rPr>
                <w:rFonts w:hint="eastAsia" w:ascii="宋体" w:hAnsi="宋体"/>
                <w:b/>
                <w:bCs/>
                <w:color w:val="auto"/>
                <w:sz w:val="24"/>
                <w:szCs w:val="24"/>
                <w:highlight w:val="none"/>
              </w:rPr>
            </w:pPr>
            <w:r>
              <w:rPr>
                <w:rFonts w:hint="eastAsia" w:ascii="宋体" w:hAnsi="宋体" w:eastAsia="宋体" w:cs="Times New Roman"/>
                <w:b/>
                <w:bCs/>
                <w:color w:val="auto"/>
                <w:kern w:val="2"/>
                <w:sz w:val="24"/>
                <w:szCs w:val="24"/>
                <w:highlight w:val="none"/>
                <w:lang w:val="en-US" w:eastAsia="zh-CN" w:bidi="ar-SA"/>
              </w:rPr>
              <w:t>备注：若投标人未按招标文件规定格式（暗标部分）填写及编制相关内容， 则</w:t>
            </w:r>
            <w:r>
              <w:rPr>
                <w:rFonts w:hint="eastAsia" w:ascii="宋体" w:hAnsi="宋体" w:cs="Times New Roman"/>
                <w:b/>
                <w:bCs/>
                <w:color w:val="auto"/>
                <w:kern w:val="2"/>
                <w:sz w:val="24"/>
                <w:szCs w:val="24"/>
                <w:highlight w:val="none"/>
                <w:lang w:val="en-US" w:eastAsia="zh-CN" w:bidi="ar-SA"/>
              </w:rPr>
              <w:t>认定为投标无效</w:t>
            </w:r>
            <w:r>
              <w:rPr>
                <w:rFonts w:hint="eastAsia" w:ascii="宋体" w:hAnsi="宋体" w:eastAsia="宋体" w:cs="Times New Roman"/>
                <w:b/>
                <w:bCs/>
                <w:color w:val="auto"/>
                <w:kern w:val="2"/>
                <w:sz w:val="24"/>
                <w:szCs w:val="24"/>
                <w:highlight w:val="none"/>
                <w:lang w:val="en-US" w:eastAsia="zh-CN" w:bidi="ar-SA"/>
              </w:rPr>
              <w:t>。</w:t>
            </w:r>
          </w:p>
        </w:tc>
      </w:tr>
    </w:tbl>
    <w:p>
      <w:pPr>
        <w:snapToGrid w:val="0"/>
        <w:spacing w:line="360" w:lineRule="auto"/>
        <w:rPr>
          <w:rFonts w:hint="eastAsia" w:ascii="宋体" w:hAnsi="宋体"/>
          <w:b/>
          <w:color w:val="auto"/>
          <w:spacing w:val="8"/>
          <w:sz w:val="24"/>
          <w:szCs w:val="24"/>
          <w:highlight w:val="none"/>
        </w:rPr>
      </w:pPr>
      <w:r>
        <w:rPr>
          <w:rFonts w:hint="eastAsia" w:ascii="宋体" w:hAnsi="宋体"/>
          <w:b/>
          <w:color w:val="auto"/>
          <w:spacing w:val="8"/>
          <w:sz w:val="24"/>
          <w:szCs w:val="24"/>
          <w:highlight w:val="none"/>
        </w:rPr>
        <w:br w:type="page"/>
      </w:r>
    </w:p>
    <w:p>
      <w:pPr>
        <w:snapToGrid w:val="0"/>
        <w:spacing w:line="360" w:lineRule="auto"/>
        <w:jc w:val="center"/>
        <w:rPr>
          <w:rFonts w:hint="eastAsia" w:ascii="宋体" w:hAnsi="宋体"/>
          <w:b/>
          <w:color w:val="auto"/>
          <w:spacing w:val="8"/>
          <w:sz w:val="28"/>
          <w:highlight w:val="none"/>
        </w:rPr>
      </w:pPr>
      <w:r>
        <w:rPr>
          <w:rFonts w:hint="eastAsia" w:ascii="宋体" w:hAnsi="宋体"/>
          <w:b/>
          <w:color w:val="auto"/>
          <w:spacing w:val="8"/>
          <w:sz w:val="28"/>
          <w:highlight w:val="none"/>
        </w:rPr>
        <w:t>（二）投标人须知</w:t>
      </w:r>
    </w:p>
    <w:p>
      <w:pPr>
        <w:adjustRightInd w:val="0"/>
        <w:snapToGrid w:val="0"/>
        <w:spacing w:line="520" w:lineRule="exact"/>
        <w:ind w:right="276"/>
        <w:outlineLvl w:val="0"/>
        <w:rPr>
          <w:rFonts w:hint="eastAsia" w:ascii="宋体" w:hAnsi="宋体"/>
          <w:b/>
          <w:color w:val="auto"/>
          <w:spacing w:val="8"/>
          <w:sz w:val="24"/>
          <w:highlight w:val="none"/>
        </w:rPr>
      </w:pPr>
      <w:bookmarkStart w:id="5" w:name="_Toc31681"/>
      <w:bookmarkStart w:id="6" w:name="_Toc1351"/>
      <w:bookmarkStart w:id="7" w:name="_Toc859"/>
      <w:r>
        <w:rPr>
          <w:rFonts w:hint="eastAsia" w:ascii="宋体" w:hAnsi="宋体"/>
          <w:b/>
          <w:color w:val="auto"/>
          <w:spacing w:val="8"/>
          <w:sz w:val="24"/>
          <w:highlight w:val="none"/>
        </w:rPr>
        <w:t>一、总则</w:t>
      </w:r>
      <w:bookmarkEnd w:id="5"/>
      <w:bookmarkEnd w:id="6"/>
      <w:bookmarkEnd w:id="7"/>
    </w:p>
    <w:p>
      <w:pPr>
        <w:snapToGrid w:val="0"/>
        <w:spacing w:line="480" w:lineRule="exact"/>
        <w:ind w:right="28" w:firstLine="514" w:firstLineChars="200"/>
        <w:rPr>
          <w:rFonts w:hint="eastAsia" w:ascii="宋体" w:hAnsi="宋体"/>
          <w:color w:val="auto"/>
          <w:spacing w:val="8"/>
          <w:sz w:val="24"/>
          <w:highlight w:val="none"/>
        </w:rPr>
      </w:pPr>
      <w:r>
        <w:rPr>
          <w:rFonts w:hint="eastAsia" w:ascii="宋体" w:hAnsi="宋体"/>
          <w:b/>
          <w:bCs/>
          <w:color w:val="auto"/>
          <w:spacing w:val="8"/>
          <w:sz w:val="24"/>
          <w:highlight w:val="none"/>
        </w:rPr>
        <w:t xml:space="preserve">1.1 </w:t>
      </w:r>
      <w:r>
        <w:rPr>
          <w:rFonts w:hint="eastAsia" w:ascii="宋体" w:hAnsi="宋体"/>
          <w:color w:val="auto"/>
          <w:spacing w:val="8"/>
          <w:sz w:val="24"/>
          <w:highlight w:val="none"/>
        </w:rPr>
        <w:t>投标人应自行承担所有与编写和提交投标文件有关的费用,不论投标的结果如何,招标代理单位和采购人在任何情况下均无义务和责任承担这些费用。</w:t>
      </w:r>
    </w:p>
    <w:p>
      <w:pPr>
        <w:snapToGrid w:val="0"/>
        <w:spacing w:line="480" w:lineRule="exact"/>
        <w:ind w:right="28" w:firstLine="514" w:firstLineChars="200"/>
        <w:rPr>
          <w:rFonts w:hint="eastAsia" w:ascii="宋体" w:hAnsi="宋体"/>
          <w:color w:val="auto"/>
          <w:spacing w:val="8"/>
          <w:sz w:val="24"/>
          <w:highlight w:val="none"/>
        </w:rPr>
      </w:pPr>
      <w:r>
        <w:rPr>
          <w:rFonts w:hint="eastAsia" w:ascii="宋体" w:hAnsi="宋体"/>
          <w:b/>
          <w:bCs/>
          <w:color w:val="auto"/>
          <w:spacing w:val="8"/>
          <w:sz w:val="24"/>
          <w:highlight w:val="none"/>
        </w:rPr>
        <w:t>1.2</w:t>
      </w:r>
      <w:r>
        <w:rPr>
          <w:rFonts w:hint="eastAsia" w:ascii="宋体" w:hAnsi="宋体"/>
          <w:color w:val="auto"/>
          <w:spacing w:val="8"/>
          <w:sz w:val="24"/>
          <w:highlight w:val="none"/>
        </w:rPr>
        <w:t>如有必要，采购人有权通过意向书，让中标人在合同签字生效前开始必要的技术工作。</w:t>
      </w:r>
    </w:p>
    <w:p>
      <w:pPr>
        <w:snapToGrid w:val="0"/>
        <w:spacing w:line="480" w:lineRule="exact"/>
        <w:ind w:right="28" w:firstLine="514" w:firstLineChars="200"/>
        <w:rPr>
          <w:rFonts w:hint="eastAsia" w:ascii="宋体" w:hAnsi="宋体"/>
          <w:b/>
          <w:snapToGrid w:val="0"/>
          <w:color w:val="auto"/>
          <w:spacing w:val="8"/>
          <w:kern w:val="0"/>
          <w:sz w:val="24"/>
          <w:highlight w:val="none"/>
        </w:rPr>
      </w:pPr>
      <w:r>
        <w:rPr>
          <w:rFonts w:hint="eastAsia" w:ascii="宋体" w:hAnsi="宋体"/>
          <w:b/>
          <w:color w:val="auto"/>
          <w:spacing w:val="8"/>
          <w:sz w:val="24"/>
          <w:highlight w:val="none"/>
        </w:rPr>
        <w:t>1.3</w:t>
      </w:r>
      <w:r>
        <w:rPr>
          <w:rFonts w:hint="eastAsia" w:ascii="宋体" w:hAnsi="宋体"/>
          <w:color w:val="auto"/>
          <w:spacing w:val="8"/>
          <w:sz w:val="24"/>
          <w:highlight w:val="none"/>
        </w:rPr>
        <w:t>投标人不得转让招标文件。</w:t>
      </w:r>
    </w:p>
    <w:p>
      <w:pPr>
        <w:adjustRightInd w:val="0"/>
        <w:snapToGrid w:val="0"/>
        <w:spacing w:line="480" w:lineRule="exact"/>
        <w:ind w:right="28"/>
        <w:outlineLvl w:val="0"/>
        <w:rPr>
          <w:rFonts w:hint="eastAsia" w:ascii="宋体" w:hAnsi="宋体"/>
          <w:b/>
          <w:color w:val="auto"/>
          <w:spacing w:val="8"/>
          <w:sz w:val="24"/>
          <w:highlight w:val="none"/>
        </w:rPr>
      </w:pPr>
      <w:bookmarkStart w:id="8" w:name="_Toc28047"/>
      <w:bookmarkStart w:id="9" w:name="_Toc8668"/>
      <w:bookmarkStart w:id="10" w:name="_Toc27859"/>
      <w:r>
        <w:rPr>
          <w:rFonts w:hint="eastAsia" w:ascii="宋体" w:hAnsi="宋体"/>
          <w:b/>
          <w:color w:val="auto"/>
          <w:spacing w:val="8"/>
          <w:sz w:val="24"/>
          <w:highlight w:val="none"/>
        </w:rPr>
        <w:t>二、招标文件</w:t>
      </w:r>
      <w:bookmarkEnd w:id="8"/>
      <w:bookmarkEnd w:id="9"/>
      <w:bookmarkEnd w:id="10"/>
    </w:p>
    <w:p>
      <w:pPr>
        <w:adjustRightInd w:val="0"/>
        <w:snapToGrid w:val="0"/>
        <w:spacing w:line="480" w:lineRule="exact"/>
        <w:ind w:right="28" w:firstLine="514" w:firstLineChars="200"/>
        <w:rPr>
          <w:rFonts w:hint="eastAsia" w:ascii="宋体" w:hAnsi="宋体"/>
          <w:b/>
          <w:bCs/>
          <w:color w:val="auto"/>
          <w:spacing w:val="8"/>
          <w:sz w:val="24"/>
          <w:highlight w:val="none"/>
        </w:rPr>
      </w:pPr>
      <w:r>
        <w:rPr>
          <w:rFonts w:hint="eastAsia" w:ascii="宋体" w:hAnsi="宋体"/>
          <w:b/>
          <w:bCs/>
          <w:color w:val="auto"/>
          <w:spacing w:val="8"/>
          <w:sz w:val="24"/>
          <w:highlight w:val="none"/>
        </w:rPr>
        <w:t>2.1招标文件</w:t>
      </w:r>
    </w:p>
    <w:p>
      <w:pPr>
        <w:adjustRightInd w:val="0"/>
        <w:snapToGrid w:val="0"/>
        <w:spacing w:line="48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投标人应认真阅读招标文件中所有的事项、格式、条款和规范等要求。如果没有按照招标文件要求提交全部资料或者投标文件没有对招标文件做出实质性响应，该投标有可能被拒绝，其风险应由投标人自行承担。</w:t>
      </w:r>
    </w:p>
    <w:p>
      <w:pPr>
        <w:adjustRightInd w:val="0"/>
        <w:snapToGrid w:val="0"/>
        <w:spacing w:line="480" w:lineRule="exact"/>
        <w:ind w:right="28" w:firstLine="514" w:firstLineChars="200"/>
        <w:rPr>
          <w:rFonts w:hint="eastAsia" w:ascii="宋体" w:hAnsi="宋体"/>
          <w:b/>
          <w:bCs/>
          <w:color w:val="auto"/>
          <w:spacing w:val="8"/>
          <w:sz w:val="24"/>
          <w:highlight w:val="none"/>
        </w:rPr>
      </w:pPr>
      <w:r>
        <w:rPr>
          <w:rFonts w:hint="eastAsia" w:ascii="宋体" w:hAnsi="宋体"/>
          <w:b/>
          <w:bCs/>
          <w:color w:val="auto"/>
          <w:spacing w:val="8"/>
          <w:sz w:val="24"/>
          <w:highlight w:val="none"/>
        </w:rPr>
        <w:t>2.2招标文件的澄清</w:t>
      </w:r>
    </w:p>
    <w:p>
      <w:pPr>
        <w:adjustRightInd w:val="0"/>
        <w:snapToGrid w:val="0"/>
        <w:spacing w:line="48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2.2.1</w:t>
      </w:r>
      <w:r>
        <w:rPr>
          <w:rFonts w:hint="eastAsia" w:ascii="宋体" w:hAnsi="宋体"/>
          <w:color w:val="auto"/>
          <w:spacing w:val="8"/>
          <w:sz w:val="24"/>
          <w:highlight w:val="none"/>
          <w:lang w:eastAsia="zh-CN"/>
        </w:rPr>
        <w:t>投标人</w:t>
      </w:r>
      <w:r>
        <w:rPr>
          <w:rFonts w:hint="eastAsia" w:ascii="宋体" w:hAnsi="宋体"/>
          <w:color w:val="auto"/>
          <w:spacing w:val="8"/>
          <w:sz w:val="24"/>
          <w:highlight w:val="none"/>
        </w:rPr>
        <w:t>在获得招标文件后，若对文件内容存在不解、疑问均可在提疑截止时间内，</w:t>
      </w:r>
      <w:r>
        <w:rPr>
          <w:rFonts w:hint="eastAsia" w:ascii="宋体" w:hAnsi="宋体"/>
          <w:color w:val="auto"/>
          <w:spacing w:val="8"/>
          <w:sz w:val="24"/>
          <w:highlight w:val="none"/>
          <w:lang w:val="en-US" w:eastAsia="zh-CN"/>
        </w:rPr>
        <w:t>向采购代理机构</w:t>
      </w:r>
      <w:r>
        <w:rPr>
          <w:rFonts w:hint="eastAsia" w:ascii="宋体" w:hAnsi="宋体"/>
          <w:color w:val="auto"/>
          <w:spacing w:val="8"/>
          <w:sz w:val="24"/>
          <w:highlight w:val="none"/>
        </w:rPr>
        <w:t>进行提问，所提问题只能涉及本招标文件内容。</w:t>
      </w:r>
    </w:p>
    <w:p>
      <w:pPr>
        <w:adjustRightInd w:val="0"/>
        <w:snapToGrid w:val="0"/>
        <w:spacing w:line="48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2.2.2采购人</w:t>
      </w:r>
      <w:r>
        <w:rPr>
          <w:rFonts w:ascii="宋体" w:hAnsi="宋体"/>
          <w:color w:val="auto"/>
          <w:spacing w:val="8"/>
          <w:sz w:val="24"/>
          <w:highlight w:val="none"/>
        </w:rPr>
        <w:t>在答疑截止时间前（特殊情况可延长，视具体提问情况确定）对</w:t>
      </w:r>
      <w:r>
        <w:rPr>
          <w:rFonts w:hint="eastAsia" w:ascii="宋体" w:hAnsi="宋体"/>
          <w:color w:val="auto"/>
          <w:spacing w:val="8"/>
          <w:sz w:val="24"/>
          <w:highlight w:val="none"/>
          <w:lang w:eastAsia="zh-CN"/>
        </w:rPr>
        <w:t>投标人</w:t>
      </w:r>
      <w:r>
        <w:rPr>
          <w:rFonts w:ascii="宋体" w:hAnsi="宋体"/>
          <w:color w:val="auto"/>
          <w:spacing w:val="8"/>
          <w:sz w:val="24"/>
          <w:highlight w:val="none"/>
        </w:rPr>
        <w:t>提出的问题进行解答，并将《答疑文件》公布在该项目</w:t>
      </w:r>
      <w:r>
        <w:rPr>
          <w:rFonts w:hint="eastAsia" w:ascii="宋体" w:hAnsi="宋体"/>
          <w:color w:val="auto"/>
          <w:spacing w:val="8"/>
          <w:sz w:val="24"/>
          <w:highlight w:val="none"/>
          <w:lang w:val="en-US" w:eastAsia="zh-CN"/>
        </w:rPr>
        <w:t>变更或更正公告中</w:t>
      </w:r>
      <w:r>
        <w:rPr>
          <w:rFonts w:ascii="宋体" w:hAnsi="宋体"/>
          <w:color w:val="auto"/>
          <w:spacing w:val="8"/>
          <w:sz w:val="24"/>
          <w:highlight w:val="none"/>
        </w:rPr>
        <w:t>，投标人应及时查阅。未在规定时间提疑和查阅答疑文件的，所造成的投标影响和后果由</w:t>
      </w:r>
      <w:r>
        <w:rPr>
          <w:rFonts w:hint="eastAsia" w:ascii="宋体" w:hAnsi="宋体"/>
          <w:color w:val="auto"/>
          <w:spacing w:val="8"/>
          <w:sz w:val="24"/>
          <w:highlight w:val="none"/>
          <w:lang w:eastAsia="zh-CN"/>
        </w:rPr>
        <w:t>投标人</w:t>
      </w:r>
      <w:r>
        <w:rPr>
          <w:rFonts w:ascii="宋体" w:hAnsi="宋体"/>
          <w:color w:val="auto"/>
          <w:spacing w:val="8"/>
          <w:sz w:val="24"/>
          <w:highlight w:val="none"/>
        </w:rPr>
        <w:t>自行承担</w:t>
      </w:r>
      <w:r>
        <w:rPr>
          <w:rFonts w:hint="eastAsia" w:ascii="宋体" w:hAnsi="宋体"/>
          <w:color w:val="auto"/>
          <w:spacing w:val="8"/>
          <w:sz w:val="24"/>
          <w:highlight w:val="none"/>
        </w:rPr>
        <w:t>。</w:t>
      </w:r>
    </w:p>
    <w:p>
      <w:pPr>
        <w:adjustRightInd w:val="0"/>
        <w:snapToGrid w:val="0"/>
        <w:spacing w:line="480" w:lineRule="exact"/>
        <w:ind w:right="28" w:firstLine="512" w:firstLineChars="200"/>
        <w:rPr>
          <w:rFonts w:hint="eastAsia" w:ascii="宋体" w:hAnsi="宋体" w:cs="宋体"/>
          <w:color w:val="auto"/>
          <w:sz w:val="24"/>
          <w:szCs w:val="24"/>
          <w:highlight w:val="none"/>
        </w:rPr>
      </w:pPr>
      <w:r>
        <w:rPr>
          <w:rFonts w:hint="eastAsia" w:ascii="宋体" w:hAnsi="宋体"/>
          <w:color w:val="auto"/>
          <w:spacing w:val="8"/>
          <w:sz w:val="24"/>
          <w:highlight w:val="none"/>
        </w:rPr>
        <w:t>投标</w:t>
      </w:r>
      <w:r>
        <w:rPr>
          <w:rFonts w:hint="eastAsia" w:ascii="宋体" w:hAnsi="宋体" w:cs="宋体"/>
          <w:color w:val="auto"/>
          <w:sz w:val="24"/>
          <w:szCs w:val="24"/>
          <w:highlight w:val="none"/>
        </w:rPr>
        <w:t xml:space="preserve">人的提疑截止时间： </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23</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11</w:t>
      </w:r>
      <w:r>
        <w:rPr>
          <w:rFonts w:hint="eastAsia" w:ascii="宋体" w:hAnsi="宋体" w:cs="宋体"/>
          <w:color w:val="auto"/>
          <w:sz w:val="24"/>
          <w:szCs w:val="24"/>
          <w:highlight w:val="none"/>
          <w:u w:val="single"/>
        </w:rPr>
        <w:t xml:space="preserve">月 </w:t>
      </w:r>
      <w:r>
        <w:rPr>
          <w:rFonts w:hint="eastAsia" w:ascii="宋体" w:hAnsi="宋体" w:cs="宋体"/>
          <w:color w:val="auto"/>
          <w:sz w:val="24"/>
          <w:szCs w:val="24"/>
          <w:highlight w:val="none"/>
          <w:u w:val="single"/>
          <w:lang w:val="en-US" w:eastAsia="zh-CN"/>
        </w:rPr>
        <w:t>29</w:t>
      </w:r>
      <w:r>
        <w:rPr>
          <w:rFonts w:hint="eastAsia" w:ascii="宋体" w:hAnsi="宋体" w:cs="宋体"/>
          <w:color w:val="auto"/>
          <w:sz w:val="24"/>
          <w:szCs w:val="24"/>
          <w:highlight w:val="none"/>
          <w:u w:val="single"/>
        </w:rPr>
        <w:t xml:space="preserve"> 日17时00分。</w:t>
      </w:r>
      <w:r>
        <w:rPr>
          <w:rFonts w:hint="eastAsia" w:ascii="宋体" w:hAnsi="宋体" w:cs="宋体"/>
          <w:color w:val="auto"/>
          <w:sz w:val="24"/>
          <w:szCs w:val="24"/>
          <w:highlight w:val="none"/>
        </w:rPr>
        <w:t xml:space="preserve">招标人（或招标代理公司）集中解答的澄清截止时间： </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23</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11</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30</w:t>
      </w:r>
      <w:r>
        <w:rPr>
          <w:rFonts w:hint="eastAsia" w:ascii="宋体" w:hAnsi="宋体" w:cs="宋体"/>
          <w:color w:val="auto"/>
          <w:sz w:val="24"/>
          <w:szCs w:val="24"/>
          <w:highlight w:val="none"/>
          <w:u w:val="single"/>
        </w:rPr>
        <w:t>日17时00分</w:t>
      </w:r>
      <w:r>
        <w:rPr>
          <w:rFonts w:hint="eastAsia" w:ascii="宋体" w:hAnsi="宋体" w:cs="宋体"/>
          <w:color w:val="auto"/>
          <w:sz w:val="24"/>
          <w:szCs w:val="24"/>
          <w:highlight w:val="none"/>
        </w:rPr>
        <w:t>。</w:t>
      </w:r>
    </w:p>
    <w:p>
      <w:pPr>
        <w:adjustRightInd w:val="0"/>
        <w:snapToGrid w:val="0"/>
        <w:spacing w:line="480" w:lineRule="exact"/>
        <w:ind w:right="28" w:firstLine="514" w:firstLineChars="200"/>
        <w:rPr>
          <w:rFonts w:hint="eastAsia" w:ascii="宋体" w:hAnsi="宋体"/>
          <w:b/>
          <w:bCs/>
          <w:color w:val="auto"/>
          <w:spacing w:val="8"/>
          <w:sz w:val="24"/>
          <w:highlight w:val="none"/>
        </w:rPr>
      </w:pPr>
      <w:r>
        <w:rPr>
          <w:rFonts w:hint="eastAsia" w:ascii="宋体" w:hAnsi="宋体"/>
          <w:b/>
          <w:bCs/>
          <w:color w:val="auto"/>
          <w:spacing w:val="8"/>
          <w:sz w:val="24"/>
          <w:highlight w:val="none"/>
        </w:rPr>
        <w:t>2.3招标文件的修改</w:t>
      </w:r>
    </w:p>
    <w:p>
      <w:pPr>
        <w:adjustRightInd w:val="0"/>
        <w:snapToGrid w:val="0"/>
        <w:spacing w:line="48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2.3.1 招标代理单位可主动地或在解答投标人提出的问题时对招标文件进行修改。</w:t>
      </w:r>
    </w:p>
    <w:p>
      <w:pPr>
        <w:adjustRightInd w:val="0"/>
        <w:snapToGrid w:val="0"/>
        <w:spacing w:line="48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 xml:space="preserve">2.3.2 </w:t>
      </w:r>
      <w:r>
        <w:rPr>
          <w:rFonts w:hint="eastAsia" w:ascii="宋体" w:hAnsi="宋体"/>
          <w:color w:val="auto"/>
          <w:spacing w:val="24"/>
          <w:sz w:val="24"/>
          <w:highlight w:val="none"/>
        </w:rPr>
        <w:t>招标文件的修改将以书面形式通知所有投标人。该修改的内</w:t>
      </w:r>
      <w:r>
        <w:rPr>
          <w:rFonts w:hint="eastAsia" w:ascii="宋体" w:hAnsi="宋体"/>
          <w:color w:val="auto"/>
          <w:spacing w:val="16"/>
          <w:sz w:val="24"/>
          <w:highlight w:val="none"/>
        </w:rPr>
        <w:t>容为</w:t>
      </w:r>
      <w:r>
        <w:rPr>
          <w:rFonts w:hint="eastAsia" w:ascii="宋体" w:hAnsi="宋体"/>
          <w:color w:val="auto"/>
          <w:spacing w:val="8"/>
          <w:sz w:val="24"/>
          <w:highlight w:val="none"/>
        </w:rPr>
        <w:t>招标文件的组成部分。</w:t>
      </w:r>
    </w:p>
    <w:p>
      <w:pPr>
        <w:adjustRightInd w:val="0"/>
        <w:snapToGrid w:val="0"/>
        <w:spacing w:line="48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2.3.3 为使投标人在编写投标文件时有充分时间对招标文件的修改部分进行研究，</w:t>
      </w:r>
      <w:r>
        <w:rPr>
          <w:rFonts w:hint="eastAsia" w:ascii="宋体" w:hAnsi="宋体"/>
          <w:color w:val="auto"/>
          <w:spacing w:val="8"/>
          <w:sz w:val="24"/>
          <w:highlight w:val="none"/>
          <w:lang w:eastAsia="zh-CN"/>
        </w:rPr>
        <w:t>采购</w:t>
      </w:r>
      <w:r>
        <w:rPr>
          <w:rFonts w:hint="eastAsia" w:ascii="宋体" w:hAnsi="宋体"/>
          <w:color w:val="auto"/>
          <w:spacing w:val="8"/>
          <w:sz w:val="24"/>
          <w:highlight w:val="none"/>
        </w:rPr>
        <w:t>代理单位可以酌情延长</w:t>
      </w:r>
      <w:r>
        <w:rPr>
          <w:rFonts w:hint="eastAsia" w:ascii="宋体" w:hAnsi="宋体"/>
          <w:color w:val="auto"/>
          <w:spacing w:val="8"/>
          <w:sz w:val="24"/>
          <w:highlight w:val="none"/>
          <w:lang w:eastAsia="zh-CN"/>
        </w:rPr>
        <w:t>投标文件递交截止日期</w:t>
      </w:r>
      <w:r>
        <w:rPr>
          <w:rFonts w:hint="eastAsia" w:ascii="宋体" w:hAnsi="宋体"/>
          <w:color w:val="auto"/>
          <w:spacing w:val="8"/>
          <w:sz w:val="24"/>
          <w:highlight w:val="none"/>
        </w:rPr>
        <w:t>。</w:t>
      </w:r>
    </w:p>
    <w:p>
      <w:pPr>
        <w:adjustRightInd w:val="0"/>
        <w:snapToGrid w:val="0"/>
        <w:spacing w:line="48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2.3.4对招标文件的澄清与修改均须经过采购人确认方可发放。</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2.3</w:t>
      </w:r>
      <w:r>
        <w:rPr>
          <w:rFonts w:ascii="宋体" w:hAnsi="宋体"/>
          <w:color w:val="auto"/>
          <w:spacing w:val="8"/>
          <w:sz w:val="24"/>
          <w:highlight w:val="none"/>
        </w:rPr>
        <w:t>.</w:t>
      </w:r>
      <w:r>
        <w:rPr>
          <w:rFonts w:hint="eastAsia" w:ascii="宋体" w:hAnsi="宋体"/>
          <w:color w:val="auto"/>
          <w:spacing w:val="8"/>
          <w:sz w:val="24"/>
          <w:highlight w:val="none"/>
        </w:rPr>
        <w:t>5如有补遗书或答疑纪要招标代理单位将通知所有投标人。</w:t>
      </w:r>
    </w:p>
    <w:p>
      <w:pPr>
        <w:adjustRightInd w:val="0"/>
        <w:snapToGrid w:val="0"/>
        <w:spacing w:line="520" w:lineRule="exact"/>
        <w:ind w:right="28"/>
        <w:rPr>
          <w:rFonts w:hint="eastAsia" w:ascii="宋体" w:hAnsi="宋体"/>
          <w:b/>
          <w:color w:val="auto"/>
          <w:spacing w:val="8"/>
          <w:sz w:val="24"/>
          <w:highlight w:val="none"/>
        </w:rPr>
      </w:pPr>
      <w:r>
        <w:rPr>
          <w:rFonts w:hint="eastAsia" w:ascii="宋体" w:hAnsi="宋体"/>
          <w:b/>
          <w:color w:val="auto"/>
          <w:spacing w:val="8"/>
          <w:sz w:val="24"/>
          <w:highlight w:val="none"/>
        </w:rPr>
        <w:t>三、投标文件</w:t>
      </w:r>
    </w:p>
    <w:p>
      <w:pPr>
        <w:adjustRightInd w:val="0"/>
        <w:snapToGrid w:val="0"/>
        <w:spacing w:line="520" w:lineRule="exact"/>
        <w:ind w:right="28" w:firstLine="514" w:firstLineChars="200"/>
        <w:rPr>
          <w:rFonts w:hint="eastAsia" w:ascii="宋体" w:hAnsi="宋体"/>
          <w:b/>
          <w:bCs/>
          <w:color w:val="auto"/>
          <w:spacing w:val="8"/>
          <w:sz w:val="24"/>
          <w:highlight w:val="none"/>
        </w:rPr>
      </w:pPr>
      <w:r>
        <w:rPr>
          <w:rFonts w:hint="eastAsia" w:ascii="宋体" w:hAnsi="宋体"/>
          <w:b/>
          <w:bCs/>
          <w:color w:val="auto"/>
          <w:spacing w:val="8"/>
          <w:sz w:val="24"/>
          <w:highlight w:val="none"/>
        </w:rPr>
        <w:t>3.1投标文件的编制依据</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3.1.1招标代理单位提供的有关资料；</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3.1.2本招标文件；</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3.1.3相关的法律法规。</w:t>
      </w:r>
    </w:p>
    <w:p>
      <w:pPr>
        <w:adjustRightInd w:val="0"/>
        <w:snapToGrid w:val="0"/>
        <w:spacing w:line="520" w:lineRule="exact"/>
        <w:ind w:right="28" w:firstLine="514" w:firstLineChars="200"/>
        <w:rPr>
          <w:rFonts w:hint="eastAsia" w:ascii="宋体" w:hAnsi="宋体"/>
          <w:b/>
          <w:bCs/>
          <w:color w:val="auto"/>
          <w:spacing w:val="8"/>
          <w:sz w:val="24"/>
          <w:highlight w:val="none"/>
        </w:rPr>
      </w:pPr>
      <w:r>
        <w:rPr>
          <w:rFonts w:hint="eastAsia" w:ascii="宋体" w:hAnsi="宋体"/>
          <w:b/>
          <w:bCs/>
          <w:color w:val="auto"/>
          <w:spacing w:val="8"/>
          <w:sz w:val="24"/>
          <w:highlight w:val="none"/>
        </w:rPr>
        <w:t>3.2投标文件格式</w:t>
      </w:r>
    </w:p>
    <w:p>
      <w:pPr>
        <w:adjustRightInd w:val="0"/>
        <w:snapToGrid w:val="0"/>
        <w:spacing w:line="520" w:lineRule="exact"/>
        <w:ind w:right="28" w:firstLine="512" w:firstLineChars="200"/>
        <w:rPr>
          <w:rFonts w:hint="eastAsia" w:ascii="宋体" w:hAnsi="宋体" w:eastAsia="宋体"/>
          <w:color w:val="auto"/>
          <w:spacing w:val="8"/>
          <w:sz w:val="24"/>
          <w:szCs w:val="22"/>
          <w:highlight w:val="none"/>
        </w:rPr>
      </w:pPr>
      <w:r>
        <w:rPr>
          <w:rFonts w:hint="eastAsia" w:ascii="宋体" w:hAnsi="宋体"/>
          <w:color w:val="auto"/>
          <w:spacing w:val="8"/>
          <w:sz w:val="24"/>
          <w:highlight w:val="none"/>
        </w:rPr>
        <w:t>投标文件包括以下内容：</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lang w:eastAsia="zh-CN"/>
        </w:rPr>
        <w:t>第一部分：商务部分（明标部分）</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一、法定代表人资格证明书</w:t>
      </w:r>
      <w:r>
        <w:rPr>
          <w:rFonts w:hint="eastAsia" w:ascii="宋体" w:hAnsi="宋体"/>
          <w:color w:val="auto"/>
          <w:spacing w:val="8"/>
          <w:sz w:val="24"/>
          <w:highlight w:val="none"/>
          <w:lang w:val="en-US" w:eastAsia="zh-CN"/>
        </w:rPr>
        <w:t>及</w:t>
      </w:r>
      <w:r>
        <w:rPr>
          <w:rFonts w:hint="eastAsia" w:ascii="宋体" w:hAnsi="宋体"/>
          <w:color w:val="auto"/>
          <w:spacing w:val="8"/>
          <w:sz w:val="24"/>
          <w:highlight w:val="none"/>
        </w:rPr>
        <w:t xml:space="preserve">法定代表人授权书 </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二、法定代表人</w:t>
      </w:r>
      <w:r>
        <w:rPr>
          <w:rFonts w:hint="eastAsia" w:ascii="宋体" w:hAnsi="宋体"/>
          <w:color w:val="auto"/>
          <w:spacing w:val="8"/>
          <w:sz w:val="24"/>
          <w:highlight w:val="none"/>
          <w:lang w:val="en-US" w:eastAsia="zh-CN"/>
        </w:rPr>
        <w:t>及</w:t>
      </w:r>
      <w:r>
        <w:rPr>
          <w:rFonts w:hint="eastAsia" w:ascii="宋体" w:hAnsi="宋体"/>
          <w:color w:val="auto"/>
          <w:spacing w:val="8"/>
          <w:sz w:val="24"/>
          <w:highlight w:val="none"/>
        </w:rPr>
        <w:t xml:space="preserve">其授权代表身份证复印件 </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三、</w:t>
      </w:r>
      <w:r>
        <w:rPr>
          <w:rFonts w:hint="eastAsia" w:ascii="宋体" w:hAnsi="宋体"/>
          <w:color w:val="auto"/>
          <w:spacing w:val="8"/>
          <w:sz w:val="24"/>
          <w:highlight w:val="none"/>
          <w:lang w:val="en-US" w:eastAsia="zh-CN"/>
        </w:rPr>
        <w:t>企业基本银行存款账户证明材料</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四、投标函</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五、</w:t>
      </w:r>
      <w:r>
        <w:rPr>
          <w:rFonts w:hint="eastAsia" w:ascii="宋体" w:hAnsi="宋体"/>
          <w:color w:val="auto"/>
          <w:spacing w:val="8"/>
          <w:sz w:val="24"/>
          <w:highlight w:val="none"/>
          <w:lang w:eastAsia="zh-CN"/>
        </w:rPr>
        <w:t>报价明细表</w:t>
      </w:r>
      <w:r>
        <w:rPr>
          <w:rFonts w:hint="eastAsia" w:ascii="宋体" w:hAnsi="宋体"/>
          <w:color w:val="auto"/>
          <w:spacing w:val="8"/>
          <w:sz w:val="24"/>
          <w:highlight w:val="none"/>
        </w:rPr>
        <w:t xml:space="preserve"> </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lang w:val="en-US" w:eastAsia="zh-CN"/>
        </w:rPr>
        <w:t>六</w:t>
      </w:r>
      <w:r>
        <w:rPr>
          <w:rFonts w:hint="eastAsia" w:ascii="宋体" w:hAnsi="宋体"/>
          <w:color w:val="auto"/>
          <w:spacing w:val="8"/>
          <w:sz w:val="24"/>
          <w:highlight w:val="none"/>
        </w:rPr>
        <w:t xml:space="preserve">、投标人资质证明文件 </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lang w:eastAsia="zh-CN"/>
        </w:rPr>
        <w:t>七</w:t>
      </w:r>
      <w:r>
        <w:rPr>
          <w:rFonts w:hint="eastAsia" w:ascii="宋体" w:hAnsi="宋体"/>
          <w:color w:val="auto"/>
          <w:spacing w:val="8"/>
          <w:sz w:val="24"/>
          <w:highlight w:val="none"/>
        </w:rPr>
        <w:t>、投标人认为有必要提供的其它资料</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lang w:val="en-US" w:eastAsia="zh-CN"/>
        </w:rPr>
        <w:t>八</w:t>
      </w:r>
      <w:r>
        <w:rPr>
          <w:rFonts w:hint="eastAsia" w:ascii="宋体" w:hAnsi="宋体"/>
          <w:color w:val="auto"/>
          <w:spacing w:val="8"/>
          <w:sz w:val="24"/>
          <w:highlight w:val="none"/>
        </w:rPr>
        <w:t>、技术文件</w:t>
      </w:r>
    </w:p>
    <w:p>
      <w:pPr>
        <w:adjustRightInd w:val="0"/>
        <w:snapToGrid w:val="0"/>
        <w:spacing w:line="520" w:lineRule="exact"/>
        <w:ind w:right="28" w:firstLine="512" w:firstLineChars="200"/>
        <w:rPr>
          <w:rFonts w:hint="eastAsia" w:ascii="宋体" w:hAnsi="宋体"/>
          <w:color w:val="auto"/>
          <w:spacing w:val="8"/>
          <w:sz w:val="24"/>
          <w:highlight w:val="none"/>
          <w:lang w:eastAsia="zh-CN"/>
        </w:rPr>
      </w:pPr>
      <w:r>
        <w:rPr>
          <w:rFonts w:hint="eastAsia" w:ascii="宋体" w:hAnsi="宋体"/>
          <w:color w:val="auto"/>
          <w:spacing w:val="8"/>
          <w:sz w:val="24"/>
          <w:highlight w:val="none"/>
          <w:lang w:eastAsia="zh-CN"/>
        </w:rPr>
        <w:t>第二部分：技术部分（暗标部分）</w:t>
      </w:r>
    </w:p>
    <w:p>
      <w:pPr>
        <w:adjustRightInd w:val="0"/>
        <w:snapToGrid w:val="0"/>
        <w:spacing w:line="520" w:lineRule="exact"/>
        <w:ind w:right="28" w:firstLine="512" w:firstLineChars="200"/>
        <w:rPr>
          <w:rFonts w:hint="eastAsia" w:ascii="宋体" w:hAnsi="宋体"/>
          <w:color w:val="auto"/>
          <w:spacing w:val="8"/>
          <w:sz w:val="24"/>
          <w:highlight w:val="none"/>
          <w:lang w:eastAsia="zh-CN"/>
        </w:rPr>
      </w:pPr>
      <w:r>
        <w:rPr>
          <w:rFonts w:hint="eastAsia" w:ascii="宋体" w:hAnsi="宋体"/>
          <w:color w:val="auto"/>
          <w:spacing w:val="8"/>
          <w:sz w:val="24"/>
          <w:highlight w:val="none"/>
          <w:lang w:eastAsia="zh-CN"/>
        </w:rPr>
        <w:t>一、投标偏离表</w:t>
      </w:r>
    </w:p>
    <w:p>
      <w:pPr>
        <w:adjustRightInd w:val="0"/>
        <w:snapToGrid w:val="0"/>
        <w:spacing w:line="520" w:lineRule="exact"/>
        <w:ind w:right="28" w:firstLine="512" w:firstLineChars="200"/>
        <w:rPr>
          <w:rFonts w:hint="eastAsia" w:ascii="宋体" w:hAnsi="宋体"/>
          <w:color w:val="auto"/>
          <w:spacing w:val="8"/>
          <w:sz w:val="24"/>
          <w:highlight w:val="none"/>
          <w:lang w:val="en-US" w:eastAsia="zh-CN"/>
        </w:rPr>
      </w:pPr>
      <w:r>
        <w:rPr>
          <w:rFonts w:hint="eastAsia" w:ascii="宋体" w:hAnsi="宋体"/>
          <w:color w:val="auto"/>
          <w:spacing w:val="8"/>
          <w:sz w:val="24"/>
          <w:highlight w:val="none"/>
          <w:lang w:val="en-US" w:eastAsia="zh-CN"/>
        </w:rPr>
        <w:t>二、实施方案</w:t>
      </w:r>
    </w:p>
    <w:p>
      <w:pPr>
        <w:adjustRightInd w:val="0"/>
        <w:snapToGrid w:val="0"/>
        <w:spacing w:line="520" w:lineRule="exact"/>
        <w:ind w:right="28" w:firstLine="512" w:firstLineChars="200"/>
        <w:rPr>
          <w:rFonts w:hint="eastAsia" w:ascii="宋体" w:hAnsi="宋体"/>
          <w:color w:val="auto"/>
          <w:spacing w:val="8"/>
          <w:sz w:val="24"/>
          <w:highlight w:val="none"/>
          <w:lang w:val="en-US" w:eastAsia="zh-CN"/>
        </w:rPr>
      </w:pPr>
      <w:r>
        <w:rPr>
          <w:rFonts w:hint="eastAsia" w:ascii="宋体" w:hAnsi="宋体"/>
          <w:color w:val="auto"/>
          <w:spacing w:val="8"/>
          <w:sz w:val="24"/>
          <w:highlight w:val="none"/>
          <w:lang w:val="en-US" w:eastAsia="zh-CN"/>
        </w:rPr>
        <w:t>三、产品质量承诺及保证措施</w:t>
      </w:r>
    </w:p>
    <w:p>
      <w:pPr>
        <w:adjustRightInd w:val="0"/>
        <w:snapToGrid w:val="0"/>
        <w:spacing w:line="520" w:lineRule="exact"/>
        <w:ind w:right="28" w:firstLine="512" w:firstLineChars="200"/>
        <w:rPr>
          <w:rFonts w:hint="eastAsia" w:ascii="宋体" w:hAnsi="宋体"/>
          <w:color w:val="auto"/>
          <w:spacing w:val="8"/>
          <w:sz w:val="24"/>
          <w:highlight w:val="none"/>
          <w:lang w:val="en-US" w:eastAsia="zh-CN"/>
        </w:rPr>
      </w:pPr>
      <w:r>
        <w:rPr>
          <w:rFonts w:hint="eastAsia" w:ascii="宋体" w:hAnsi="宋体"/>
          <w:color w:val="auto"/>
          <w:spacing w:val="8"/>
          <w:sz w:val="24"/>
          <w:highlight w:val="none"/>
          <w:lang w:val="en-US" w:eastAsia="zh-CN"/>
        </w:rPr>
        <w:t>四、供货安装及调试保证措施</w:t>
      </w:r>
    </w:p>
    <w:p>
      <w:pPr>
        <w:adjustRightInd w:val="0"/>
        <w:snapToGrid w:val="0"/>
        <w:spacing w:line="520" w:lineRule="exact"/>
        <w:ind w:right="28" w:firstLine="512" w:firstLineChars="200"/>
        <w:rPr>
          <w:rFonts w:hint="eastAsia" w:ascii="宋体" w:hAnsi="宋体"/>
          <w:color w:val="auto"/>
          <w:spacing w:val="8"/>
          <w:sz w:val="24"/>
          <w:highlight w:val="none"/>
          <w:lang w:val="en-US" w:eastAsia="zh-CN"/>
        </w:rPr>
      </w:pPr>
      <w:r>
        <w:rPr>
          <w:rFonts w:hint="eastAsia" w:ascii="宋体" w:hAnsi="宋体"/>
          <w:color w:val="auto"/>
          <w:spacing w:val="8"/>
          <w:sz w:val="24"/>
          <w:highlight w:val="none"/>
          <w:lang w:val="en-US" w:eastAsia="zh-CN"/>
        </w:rPr>
        <w:t>五、售后服务承诺及保证措施</w:t>
      </w:r>
    </w:p>
    <w:p>
      <w:pPr>
        <w:adjustRightInd w:val="0"/>
        <w:snapToGrid w:val="0"/>
        <w:spacing w:line="520" w:lineRule="exact"/>
        <w:ind w:right="28" w:firstLine="514" w:firstLineChars="200"/>
        <w:rPr>
          <w:rFonts w:hint="eastAsia" w:ascii="宋体" w:hAnsi="宋体"/>
          <w:b/>
          <w:bCs/>
          <w:color w:val="auto"/>
          <w:spacing w:val="8"/>
          <w:sz w:val="24"/>
          <w:szCs w:val="24"/>
          <w:highlight w:val="none"/>
        </w:rPr>
      </w:pPr>
      <w:r>
        <w:rPr>
          <w:rFonts w:hint="eastAsia" w:ascii="宋体" w:hAnsi="宋体"/>
          <w:b/>
          <w:bCs/>
          <w:color w:val="auto"/>
          <w:spacing w:val="8"/>
          <w:sz w:val="24"/>
          <w:szCs w:val="24"/>
          <w:highlight w:val="none"/>
        </w:rPr>
        <w:t>3.3投标报价</w:t>
      </w:r>
    </w:p>
    <w:p>
      <w:pPr>
        <w:adjustRightInd w:val="0"/>
        <w:snapToGrid w:val="0"/>
        <w:spacing w:line="520" w:lineRule="exact"/>
        <w:ind w:right="28" w:firstLine="512" w:firstLineChars="200"/>
        <w:rPr>
          <w:rFonts w:hint="eastAsia" w:ascii="宋体" w:hAnsi="宋体"/>
          <w:color w:val="auto"/>
          <w:spacing w:val="8"/>
          <w:sz w:val="24"/>
          <w:szCs w:val="24"/>
          <w:highlight w:val="none"/>
        </w:rPr>
      </w:pPr>
      <w:r>
        <w:rPr>
          <w:rFonts w:hint="eastAsia" w:ascii="宋体" w:hAnsi="宋体"/>
          <w:color w:val="auto"/>
          <w:spacing w:val="8"/>
          <w:sz w:val="24"/>
          <w:szCs w:val="24"/>
          <w:highlight w:val="none"/>
        </w:rPr>
        <w:t>3.3.1投标报价应按照招标单位提供的采购</w:t>
      </w:r>
      <w:r>
        <w:rPr>
          <w:rFonts w:hint="eastAsia" w:ascii="宋体" w:hAnsi="宋体"/>
          <w:color w:val="auto"/>
          <w:sz w:val="24"/>
          <w:szCs w:val="24"/>
          <w:highlight w:val="none"/>
        </w:rPr>
        <w:t>清单及技术要求</w:t>
      </w:r>
      <w:r>
        <w:rPr>
          <w:rFonts w:hint="eastAsia" w:ascii="宋体" w:hAnsi="宋体"/>
          <w:color w:val="auto"/>
          <w:spacing w:val="8"/>
          <w:sz w:val="24"/>
          <w:szCs w:val="24"/>
          <w:highlight w:val="none"/>
        </w:rPr>
        <w:t>填报投标</w:t>
      </w:r>
      <w:r>
        <w:rPr>
          <w:rFonts w:hint="eastAsia" w:ascii="宋体" w:hAnsi="宋体"/>
          <w:color w:val="auto"/>
          <w:spacing w:val="8"/>
          <w:sz w:val="24"/>
          <w:szCs w:val="24"/>
          <w:highlight w:val="none"/>
          <w:lang w:eastAsia="zh-CN"/>
        </w:rPr>
        <w:t>函</w:t>
      </w:r>
      <w:r>
        <w:rPr>
          <w:rFonts w:hint="eastAsia" w:ascii="宋体" w:hAnsi="宋体"/>
          <w:color w:val="auto"/>
          <w:spacing w:val="8"/>
          <w:sz w:val="24"/>
          <w:szCs w:val="24"/>
          <w:highlight w:val="none"/>
        </w:rPr>
        <w:t xml:space="preserve">及投标报价明细表。 </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3.3.2本项目投标报价包括</w:t>
      </w:r>
      <w:r>
        <w:rPr>
          <w:rFonts w:hint="eastAsia" w:ascii="宋体" w:hAnsi="宋体"/>
          <w:color w:val="auto"/>
          <w:spacing w:val="8"/>
          <w:sz w:val="24"/>
          <w:highlight w:val="none"/>
          <w:lang w:val="en-US" w:eastAsia="zh-CN"/>
        </w:rPr>
        <w:t>但不限于</w:t>
      </w:r>
      <w:r>
        <w:rPr>
          <w:rFonts w:hint="eastAsia" w:ascii="宋体" w:hAnsi="宋体"/>
          <w:color w:val="auto"/>
          <w:spacing w:val="8"/>
          <w:sz w:val="24"/>
          <w:highlight w:val="none"/>
        </w:rPr>
        <w:t>本项目货款、运输费、安装费调试费、人工费及税金</w:t>
      </w:r>
      <w:r>
        <w:rPr>
          <w:rFonts w:hint="eastAsia" w:ascii="宋体" w:hAnsi="宋体"/>
          <w:color w:val="auto"/>
          <w:spacing w:val="8"/>
          <w:sz w:val="24"/>
          <w:highlight w:val="none"/>
          <w:lang w:val="en-US" w:eastAsia="zh-CN"/>
        </w:rPr>
        <w:t>等</w:t>
      </w:r>
      <w:r>
        <w:rPr>
          <w:rFonts w:hint="eastAsia" w:ascii="宋体" w:hAnsi="宋体"/>
          <w:color w:val="auto"/>
          <w:spacing w:val="8"/>
          <w:sz w:val="24"/>
          <w:highlight w:val="none"/>
        </w:rPr>
        <w:t>。</w:t>
      </w:r>
    </w:p>
    <w:p>
      <w:pPr>
        <w:adjustRightInd w:val="0"/>
        <w:snapToGrid w:val="0"/>
        <w:spacing w:line="520" w:lineRule="exact"/>
        <w:ind w:right="28" w:firstLine="514" w:firstLineChars="200"/>
        <w:rPr>
          <w:rFonts w:hint="eastAsia" w:ascii="宋体" w:hAnsi="宋体"/>
          <w:b/>
          <w:bCs/>
          <w:color w:val="auto"/>
          <w:spacing w:val="8"/>
          <w:sz w:val="24"/>
          <w:highlight w:val="none"/>
        </w:rPr>
      </w:pPr>
      <w:r>
        <w:rPr>
          <w:rFonts w:hint="eastAsia" w:ascii="宋体" w:hAnsi="宋体"/>
          <w:b/>
          <w:bCs/>
          <w:color w:val="auto"/>
          <w:spacing w:val="8"/>
          <w:sz w:val="24"/>
          <w:highlight w:val="none"/>
        </w:rPr>
        <w:t>3.4投标文件的有效期</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3.4.1投标文件的有效期自开标之日起90天（日历日）。</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3.4.2 在原定投标有效期满之前，如果出现特殊情况，招标代理单位可以以书面形式向投标人提出延长投标有效期的要求。投标人须以书面形式予以答复，投标人可以拒绝这种要求，同意延长投标有效期的投标人不允许修改投标文件。</w:t>
      </w:r>
    </w:p>
    <w:p>
      <w:pPr>
        <w:adjustRightInd w:val="0"/>
        <w:snapToGrid w:val="0"/>
        <w:spacing w:line="520" w:lineRule="exact"/>
        <w:ind w:right="28" w:firstLine="514" w:firstLineChars="200"/>
        <w:rPr>
          <w:rFonts w:hint="eastAsia" w:ascii="宋体" w:hAnsi="宋体" w:eastAsia="宋体"/>
          <w:b/>
          <w:bCs/>
          <w:color w:val="auto"/>
          <w:spacing w:val="8"/>
          <w:sz w:val="24"/>
          <w:highlight w:val="none"/>
          <w:lang w:eastAsia="zh-CN"/>
        </w:rPr>
      </w:pPr>
      <w:r>
        <w:rPr>
          <w:rFonts w:hint="eastAsia" w:ascii="宋体" w:hAnsi="宋体"/>
          <w:b/>
          <w:bCs/>
          <w:color w:val="auto"/>
          <w:spacing w:val="8"/>
          <w:sz w:val="24"/>
          <w:highlight w:val="none"/>
        </w:rPr>
        <w:t>3.5投标保证金</w:t>
      </w:r>
      <w:r>
        <w:rPr>
          <w:rFonts w:hint="eastAsia" w:ascii="宋体" w:hAnsi="宋体"/>
          <w:b/>
          <w:bCs/>
          <w:color w:val="auto"/>
          <w:spacing w:val="8"/>
          <w:sz w:val="24"/>
          <w:highlight w:val="none"/>
          <w:lang w:eastAsia="zh-CN"/>
        </w:rPr>
        <w:t>（</w:t>
      </w:r>
      <w:r>
        <w:rPr>
          <w:rFonts w:hint="eastAsia" w:ascii="宋体" w:hAnsi="宋体"/>
          <w:b/>
          <w:bCs/>
          <w:color w:val="auto"/>
          <w:spacing w:val="8"/>
          <w:sz w:val="24"/>
          <w:highlight w:val="none"/>
          <w:lang w:val="en-US" w:eastAsia="zh-CN"/>
        </w:rPr>
        <w:t>不适用</w:t>
      </w:r>
      <w:r>
        <w:rPr>
          <w:rFonts w:hint="eastAsia" w:ascii="宋体" w:hAnsi="宋体"/>
          <w:b/>
          <w:bCs/>
          <w:color w:val="auto"/>
          <w:spacing w:val="8"/>
          <w:sz w:val="24"/>
          <w:highlight w:val="none"/>
          <w:lang w:eastAsia="zh-CN"/>
        </w:rPr>
        <w:t>）</w:t>
      </w:r>
    </w:p>
    <w:p>
      <w:pPr>
        <w:adjustRightInd w:val="0"/>
        <w:snapToGrid w:val="0"/>
        <w:spacing w:line="520" w:lineRule="exact"/>
        <w:ind w:right="-45" w:firstLine="540"/>
        <w:rPr>
          <w:rFonts w:hint="eastAsia" w:ascii="宋体" w:hAnsi="宋体"/>
          <w:color w:val="auto"/>
          <w:spacing w:val="8"/>
          <w:sz w:val="24"/>
          <w:highlight w:val="none"/>
        </w:rPr>
      </w:pPr>
      <w:r>
        <w:rPr>
          <w:rFonts w:hint="eastAsia" w:ascii="宋体" w:hAnsi="宋体"/>
          <w:color w:val="auto"/>
          <w:spacing w:val="8"/>
          <w:sz w:val="24"/>
          <w:highlight w:val="none"/>
        </w:rPr>
        <w:t xml:space="preserve">3.5.1投标人应按照招标文件本须知前附表的要求提交投标保证金： </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3.5.2投标保证金的退还：未中标人投标保证金</w:t>
      </w:r>
      <w:r>
        <w:rPr>
          <w:rFonts w:hint="eastAsia" w:ascii="宋体" w:hAnsi="宋体"/>
          <w:snapToGrid w:val="0"/>
          <w:color w:val="auto"/>
          <w:spacing w:val="8"/>
          <w:kern w:val="0"/>
          <w:sz w:val="24"/>
          <w:highlight w:val="none"/>
        </w:rPr>
        <w:t>在</w:t>
      </w:r>
      <w:r>
        <w:rPr>
          <w:rFonts w:hint="eastAsia" w:ascii="宋体" w:hAnsi="宋体"/>
          <w:color w:val="auto"/>
          <w:spacing w:val="8"/>
          <w:sz w:val="24"/>
          <w:highlight w:val="none"/>
        </w:rPr>
        <w:t>中标通知书下发后5个工作日内按</w:t>
      </w:r>
      <w:r>
        <w:rPr>
          <w:rFonts w:hint="eastAsia" w:ascii="宋体" w:hAnsi="宋体"/>
          <w:color w:val="auto"/>
          <w:spacing w:val="8"/>
          <w:sz w:val="24"/>
          <w:highlight w:val="none"/>
          <w:lang w:eastAsia="zh-CN"/>
        </w:rPr>
        <w:t>投标人</w:t>
      </w:r>
      <w:r>
        <w:rPr>
          <w:rFonts w:hint="eastAsia" w:ascii="宋体" w:hAnsi="宋体"/>
          <w:color w:val="auto"/>
          <w:spacing w:val="8"/>
          <w:sz w:val="24"/>
          <w:highlight w:val="none"/>
        </w:rPr>
        <w:t>缴纳帐号向未中标</w:t>
      </w:r>
      <w:r>
        <w:rPr>
          <w:rFonts w:hint="eastAsia" w:ascii="宋体" w:hAnsi="宋体"/>
          <w:color w:val="auto"/>
          <w:spacing w:val="8"/>
          <w:sz w:val="24"/>
          <w:highlight w:val="none"/>
          <w:lang w:eastAsia="zh-CN"/>
        </w:rPr>
        <w:t>投标人</w:t>
      </w:r>
      <w:r>
        <w:rPr>
          <w:rFonts w:hint="eastAsia" w:ascii="宋体" w:hAnsi="宋体"/>
          <w:color w:val="auto"/>
          <w:spacing w:val="8"/>
          <w:sz w:val="24"/>
          <w:highlight w:val="none"/>
        </w:rPr>
        <w:t>退投标保证金；但因</w:t>
      </w:r>
      <w:r>
        <w:rPr>
          <w:rFonts w:hint="eastAsia" w:ascii="宋体" w:hAnsi="宋体"/>
          <w:color w:val="auto"/>
          <w:spacing w:val="8"/>
          <w:sz w:val="24"/>
          <w:highlight w:val="none"/>
          <w:lang w:eastAsia="zh-CN"/>
        </w:rPr>
        <w:t>投标人</w:t>
      </w:r>
      <w:r>
        <w:rPr>
          <w:rFonts w:hint="eastAsia" w:ascii="宋体" w:hAnsi="宋体"/>
          <w:color w:val="auto"/>
          <w:spacing w:val="8"/>
          <w:sz w:val="24"/>
          <w:highlight w:val="none"/>
        </w:rPr>
        <w:t>自身原因导致无法及时退还的除外。中标人的投标保证金，将在本项目采购合同签订之日起，5个工作日内退还（含利息）。</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3.5.3 投标保证金是为了保护采购人免遭因投标人的行为而蒙受的损失。有下述情况之一的，投标保证金将被没收：</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1)投标人在投标有效期内撤回投标文件；</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2)因中标人原因未能在规定期限内与采购人签订合同；</w:t>
      </w:r>
    </w:p>
    <w:p>
      <w:pPr>
        <w:adjustRightInd w:val="0"/>
        <w:snapToGrid w:val="0"/>
        <w:spacing w:line="520" w:lineRule="exact"/>
        <w:ind w:right="28"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3)投标人隐瞒技术参数偏差或以虚假资料骗取中标；</w:t>
      </w:r>
    </w:p>
    <w:p>
      <w:pPr>
        <w:snapToGrid w:val="0"/>
        <w:spacing w:line="520" w:lineRule="exact"/>
        <w:ind w:right="-45" w:firstLine="514" w:firstLineChars="200"/>
        <w:rPr>
          <w:rFonts w:hint="eastAsia" w:ascii="宋体" w:hAnsi="宋体"/>
          <w:b/>
          <w:bCs/>
          <w:color w:val="auto"/>
          <w:spacing w:val="8"/>
          <w:sz w:val="24"/>
          <w:highlight w:val="none"/>
        </w:rPr>
      </w:pPr>
      <w:r>
        <w:rPr>
          <w:rFonts w:hint="eastAsia" w:ascii="宋体" w:hAnsi="宋体"/>
          <w:b/>
          <w:bCs/>
          <w:color w:val="auto"/>
          <w:spacing w:val="8"/>
          <w:sz w:val="24"/>
          <w:highlight w:val="none"/>
        </w:rPr>
        <w:t>3.6投标文件的编制要求</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3.6.1投标人需</w:t>
      </w:r>
      <w:r>
        <w:rPr>
          <w:rFonts w:hint="eastAsia" w:ascii="宋体" w:hAnsi="宋体"/>
          <w:color w:val="auto"/>
          <w:spacing w:val="8"/>
          <w:sz w:val="24"/>
          <w:highlight w:val="none"/>
          <w:lang w:val="en-US" w:eastAsia="zh-CN"/>
        </w:rPr>
        <w:t>按照招标文件</w:t>
      </w:r>
      <w:r>
        <w:rPr>
          <w:rFonts w:hint="eastAsia" w:ascii="宋体" w:hAnsi="宋体"/>
          <w:color w:val="auto"/>
          <w:spacing w:val="8"/>
          <w:sz w:val="24"/>
          <w:highlight w:val="none"/>
        </w:rPr>
        <w:t>提供</w:t>
      </w:r>
      <w:r>
        <w:rPr>
          <w:rFonts w:hint="eastAsia" w:ascii="宋体" w:hAnsi="宋体"/>
          <w:color w:val="auto"/>
          <w:spacing w:val="8"/>
          <w:sz w:val="24"/>
          <w:highlight w:val="none"/>
          <w:lang w:val="en-US" w:eastAsia="zh-CN"/>
        </w:rPr>
        <w:t>的</w:t>
      </w:r>
      <w:r>
        <w:rPr>
          <w:rFonts w:hint="eastAsia" w:ascii="宋体" w:hAnsi="宋体"/>
          <w:color w:val="auto"/>
          <w:spacing w:val="8"/>
          <w:sz w:val="24"/>
          <w:highlight w:val="none"/>
        </w:rPr>
        <w:t>投标文件</w:t>
      </w:r>
      <w:r>
        <w:rPr>
          <w:rFonts w:hint="eastAsia" w:ascii="宋体" w:hAnsi="宋体"/>
          <w:color w:val="auto"/>
          <w:spacing w:val="8"/>
          <w:sz w:val="24"/>
          <w:highlight w:val="none"/>
          <w:lang w:val="en-US" w:eastAsia="zh-CN"/>
        </w:rPr>
        <w:t>格式编制。</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3.6.</w:t>
      </w:r>
      <w:r>
        <w:rPr>
          <w:rFonts w:hint="eastAsia" w:ascii="宋体" w:hAnsi="宋体"/>
          <w:color w:val="auto"/>
          <w:spacing w:val="8"/>
          <w:sz w:val="24"/>
          <w:highlight w:val="none"/>
          <w:lang w:val="en-US" w:eastAsia="zh-CN"/>
        </w:rPr>
        <w:t>2</w:t>
      </w:r>
      <w:r>
        <w:rPr>
          <w:rFonts w:hint="eastAsia" w:ascii="宋体" w:hAnsi="宋体"/>
          <w:color w:val="auto"/>
          <w:spacing w:val="8"/>
          <w:sz w:val="24"/>
          <w:highlight w:val="none"/>
        </w:rPr>
        <w:t>投标文件封面或扉页必须加盖投标人法人章及法定代表人印鉴。填写标书时，如有修改，则应在修改处加盖投标人法人章。</w:t>
      </w:r>
    </w:p>
    <w:p>
      <w:pPr>
        <w:snapToGrid w:val="0"/>
        <w:spacing w:line="520" w:lineRule="exact"/>
        <w:ind w:right="-45" w:firstLine="514" w:firstLineChars="200"/>
        <w:rPr>
          <w:rFonts w:hint="eastAsia" w:ascii="宋体" w:hAnsi="宋体"/>
          <w:b/>
          <w:bCs/>
          <w:color w:val="auto"/>
          <w:spacing w:val="8"/>
          <w:sz w:val="24"/>
          <w:szCs w:val="22"/>
          <w:highlight w:val="none"/>
          <w:lang w:val="en-US" w:eastAsia="zh-CN"/>
        </w:rPr>
      </w:pPr>
      <w:r>
        <w:rPr>
          <w:rFonts w:hint="eastAsia" w:ascii="宋体" w:hAnsi="宋体"/>
          <w:b/>
          <w:bCs/>
          <w:color w:val="auto"/>
          <w:spacing w:val="8"/>
          <w:sz w:val="24"/>
          <w:highlight w:val="none"/>
          <w:lang w:val="en-US" w:eastAsia="zh-CN"/>
        </w:rPr>
        <w:t>3.6.3</w:t>
      </w:r>
      <w:r>
        <w:rPr>
          <w:rFonts w:hint="eastAsia" w:ascii="宋体" w:hAnsi="宋体"/>
          <w:b/>
          <w:bCs/>
          <w:color w:val="auto"/>
          <w:spacing w:val="8"/>
          <w:sz w:val="24"/>
          <w:szCs w:val="22"/>
          <w:highlight w:val="none"/>
          <w:lang w:val="en-US" w:eastAsia="zh-CN"/>
        </w:rPr>
        <w:t>电子版投标文件递交：投标人须通过全国公共资源交易平台（滦平县）的电子交易系统递交电子投标文件。提交投标文件时，需在提交投标文件截止时间前以投标人企业机构数字证书点击【投标用户登录】登录投标系统上传电子投标文件（.TBJ）到电子交易系统的指定位置。上传完成后必须点击“确认签名”。请投标人在上传时认真检查上传投标文件是否完整、正确。</w:t>
      </w:r>
    </w:p>
    <w:p>
      <w:pPr>
        <w:snapToGrid w:val="0"/>
        <w:spacing w:line="520" w:lineRule="exact"/>
        <w:ind w:right="-45" w:firstLine="514" w:firstLineChars="200"/>
        <w:rPr>
          <w:rFonts w:hint="default" w:ascii="宋体" w:hAnsi="宋体"/>
          <w:b/>
          <w:bCs/>
          <w:color w:val="auto"/>
          <w:spacing w:val="8"/>
          <w:sz w:val="24"/>
          <w:highlight w:val="none"/>
          <w:lang w:val="en-US" w:eastAsia="zh-CN"/>
        </w:rPr>
      </w:pPr>
      <w:r>
        <w:rPr>
          <w:rFonts w:hint="eastAsia" w:ascii="宋体" w:hAnsi="宋体"/>
          <w:b/>
          <w:bCs/>
          <w:color w:val="auto"/>
          <w:spacing w:val="8"/>
          <w:sz w:val="24"/>
          <w:highlight w:val="none"/>
          <w:lang w:val="en-US" w:eastAsia="zh-CN"/>
        </w:rPr>
        <w:t>3.6.4各投标人在上传电子投标文件时如对电子投标文件进行加密，请于开标当日在规定的时间内进行远程解密。如因未及时解密而造成的后果由投标人自行承担。招标人不强制要求投标文件加密。</w:t>
      </w:r>
    </w:p>
    <w:p>
      <w:pPr>
        <w:snapToGrid w:val="0"/>
        <w:spacing w:line="520" w:lineRule="exact"/>
        <w:ind w:right="-45" w:firstLine="514" w:firstLineChars="200"/>
        <w:rPr>
          <w:rFonts w:hint="default" w:ascii="宋体" w:hAnsi="宋体" w:eastAsia="宋体"/>
          <w:b/>
          <w:bCs/>
          <w:color w:val="auto"/>
          <w:spacing w:val="8"/>
          <w:sz w:val="24"/>
          <w:highlight w:val="none"/>
          <w:lang w:val="en-US" w:eastAsia="zh-CN"/>
        </w:rPr>
      </w:pPr>
      <w:r>
        <w:rPr>
          <w:rFonts w:hint="eastAsia" w:ascii="宋体" w:hAnsi="宋体"/>
          <w:b/>
          <w:bCs/>
          <w:color w:val="auto"/>
          <w:spacing w:val="8"/>
          <w:sz w:val="24"/>
          <w:highlight w:val="none"/>
        </w:rPr>
        <w:t>3.</w:t>
      </w:r>
      <w:r>
        <w:rPr>
          <w:rFonts w:hint="eastAsia" w:ascii="宋体" w:hAnsi="宋体"/>
          <w:b/>
          <w:bCs/>
          <w:color w:val="auto"/>
          <w:spacing w:val="8"/>
          <w:sz w:val="24"/>
          <w:highlight w:val="none"/>
          <w:lang w:val="en-US" w:eastAsia="zh-CN"/>
        </w:rPr>
        <w:t>7无效标的认定</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3.7.1投标文件</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1)未按本招标文件要求加盖投标人法人章或未按本招标文件要求加盖投标人法定代表人印鉴（或签字）；</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2)</w:t>
      </w:r>
      <w:r>
        <w:rPr>
          <w:rFonts w:hint="eastAsia" w:ascii="宋体" w:hAnsi="宋体"/>
          <w:color w:val="auto"/>
          <w:spacing w:val="8"/>
          <w:sz w:val="24"/>
          <w:highlight w:val="none"/>
          <w:lang w:eastAsia="zh-CN"/>
        </w:rPr>
        <w:t>投标文件</w:t>
      </w:r>
      <w:r>
        <w:rPr>
          <w:rFonts w:hint="eastAsia" w:ascii="宋体" w:hAnsi="宋体"/>
          <w:color w:val="auto"/>
          <w:spacing w:val="8"/>
          <w:sz w:val="24"/>
          <w:highlight w:val="none"/>
        </w:rPr>
        <w:t>中有涂改且涂改处未加盖投标人法人章和法定代表人印鉴；</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3)投标截止时间以后送达；</w:t>
      </w:r>
    </w:p>
    <w:p>
      <w:pPr>
        <w:pStyle w:val="2"/>
        <w:ind w:firstLine="512" w:firstLineChars="200"/>
        <w:rPr>
          <w:rFonts w:hint="eastAsia" w:ascii="宋体" w:hAnsi="宋体" w:eastAsia="宋体" w:cs="Times New Roman"/>
          <w:color w:val="auto"/>
          <w:spacing w:val="8"/>
          <w:kern w:val="2"/>
          <w:sz w:val="24"/>
          <w:highlight w:val="none"/>
          <w:lang w:val="en-US" w:eastAsia="zh-CN" w:bidi="ar-SA"/>
        </w:rPr>
      </w:pPr>
      <w:r>
        <w:rPr>
          <w:rFonts w:hint="eastAsia" w:ascii="宋体" w:hAnsi="宋体" w:eastAsia="宋体" w:cs="Times New Roman"/>
          <w:color w:val="auto"/>
          <w:spacing w:val="8"/>
          <w:kern w:val="2"/>
          <w:sz w:val="24"/>
          <w:highlight w:val="none"/>
          <w:lang w:val="en-US" w:eastAsia="zh-CN" w:bidi="ar-SA"/>
        </w:rPr>
        <w:t>4）若投标人未按招标文件规定格式（暗标部分）填写及编制相关内容， 则认定为投标无效</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lang w:val="en-US" w:eastAsia="zh-CN"/>
        </w:rPr>
        <w:t>4</w:t>
      </w:r>
      <w:r>
        <w:rPr>
          <w:rFonts w:hint="eastAsia" w:ascii="宋体" w:hAnsi="宋体"/>
          <w:color w:val="auto"/>
          <w:spacing w:val="8"/>
          <w:sz w:val="24"/>
          <w:highlight w:val="none"/>
        </w:rPr>
        <w:t>）</w:t>
      </w:r>
      <w:r>
        <w:rPr>
          <w:rFonts w:ascii="宋体" w:hAnsi="宋体"/>
          <w:b/>
          <w:color w:val="auto"/>
          <w:spacing w:val="8"/>
          <w:sz w:val="24"/>
          <w:highlight w:val="none"/>
        </w:rPr>
        <w:t>报价严重偏离市场价格</w:t>
      </w:r>
      <w:r>
        <w:rPr>
          <w:rFonts w:hint="eastAsia" w:ascii="宋体" w:hAnsi="宋体"/>
          <w:b/>
          <w:color w:val="auto"/>
          <w:spacing w:val="8"/>
          <w:sz w:val="24"/>
          <w:highlight w:val="none"/>
        </w:rPr>
        <w:t>，低于成本报价，恶意参与竞争的</w:t>
      </w:r>
      <w:r>
        <w:rPr>
          <w:rFonts w:hint="eastAsia" w:ascii="宋体" w:hAnsi="宋体"/>
          <w:color w:val="auto"/>
          <w:spacing w:val="8"/>
          <w:sz w:val="24"/>
          <w:highlight w:val="none"/>
        </w:rPr>
        <w:t>。</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lang w:val="en-US" w:eastAsia="zh-CN"/>
        </w:rPr>
        <w:t>5</w:t>
      </w:r>
      <w:r>
        <w:rPr>
          <w:rFonts w:hint="eastAsia" w:ascii="宋体" w:hAnsi="宋体"/>
          <w:color w:val="auto"/>
          <w:spacing w:val="8"/>
          <w:sz w:val="24"/>
          <w:highlight w:val="none"/>
        </w:rPr>
        <w:t>）投标文件投标</w:t>
      </w:r>
      <w:r>
        <w:rPr>
          <w:rFonts w:hint="eastAsia" w:ascii="宋体" w:hAnsi="宋体"/>
          <w:color w:val="auto"/>
          <w:spacing w:val="8"/>
          <w:sz w:val="24"/>
          <w:highlight w:val="none"/>
          <w:lang w:eastAsia="zh-CN"/>
        </w:rPr>
        <w:t>函</w:t>
      </w:r>
      <w:r>
        <w:rPr>
          <w:rFonts w:hint="eastAsia" w:ascii="宋体" w:hAnsi="宋体"/>
          <w:color w:val="auto"/>
          <w:spacing w:val="8"/>
          <w:sz w:val="24"/>
          <w:highlight w:val="none"/>
        </w:rPr>
        <w:t>中文字报价与投标报价明细表中单价合计不一致的；</w:t>
      </w:r>
    </w:p>
    <w:p>
      <w:pPr>
        <w:snapToGrid w:val="0"/>
        <w:spacing w:line="520" w:lineRule="exact"/>
        <w:ind w:left="512" w:leftChars="244" w:right="-45"/>
        <w:rPr>
          <w:rFonts w:hint="eastAsia" w:ascii="宋体" w:hAnsi="宋体"/>
          <w:color w:val="auto"/>
          <w:spacing w:val="8"/>
          <w:sz w:val="24"/>
          <w:highlight w:val="none"/>
        </w:rPr>
      </w:pPr>
      <w:r>
        <w:rPr>
          <w:rFonts w:hint="eastAsia" w:ascii="宋体" w:hAnsi="宋体"/>
          <w:color w:val="auto"/>
          <w:spacing w:val="8"/>
          <w:sz w:val="24"/>
          <w:highlight w:val="none"/>
          <w:lang w:val="en-US" w:eastAsia="zh-CN"/>
        </w:rPr>
        <w:t>6</w:t>
      </w:r>
      <w:r>
        <w:rPr>
          <w:rFonts w:ascii="宋体" w:hAnsi="宋体"/>
          <w:color w:val="auto"/>
          <w:spacing w:val="8"/>
          <w:sz w:val="24"/>
          <w:highlight w:val="none"/>
        </w:rPr>
        <w:t>）不符合法律、法规和采购文件中规定的其他实质性要求的。</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lang w:val="en-US" w:eastAsia="zh-CN"/>
        </w:rPr>
        <w:t>7</w:t>
      </w:r>
      <w:r>
        <w:rPr>
          <w:rFonts w:hint="eastAsia" w:ascii="宋体" w:hAnsi="宋体"/>
          <w:color w:val="auto"/>
          <w:spacing w:val="8"/>
          <w:sz w:val="24"/>
          <w:highlight w:val="none"/>
        </w:rPr>
        <w:t>）招标文件规定的其他实质性内容。</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3.7.2证件</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1)投标人法定代表人的居民身份证</w:t>
      </w:r>
      <w:r>
        <w:rPr>
          <w:rFonts w:hint="eastAsia" w:ascii="宋体" w:hAnsi="宋体"/>
          <w:color w:val="auto"/>
          <w:spacing w:val="8"/>
          <w:sz w:val="24"/>
          <w:highlight w:val="none"/>
          <w:lang w:val="en-US" w:eastAsia="zh-CN"/>
        </w:rPr>
        <w:t>信息</w:t>
      </w:r>
      <w:r>
        <w:rPr>
          <w:rFonts w:hint="eastAsia" w:ascii="宋体" w:hAnsi="宋体"/>
          <w:color w:val="auto"/>
          <w:spacing w:val="8"/>
          <w:sz w:val="24"/>
          <w:highlight w:val="none"/>
        </w:rPr>
        <w:t>与该单位营业执照不符；</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2)投标人法定代表人授权代表的居民身份证</w:t>
      </w:r>
      <w:r>
        <w:rPr>
          <w:rFonts w:hint="eastAsia" w:ascii="宋体" w:hAnsi="宋体"/>
          <w:color w:val="auto"/>
          <w:spacing w:val="8"/>
          <w:sz w:val="24"/>
          <w:highlight w:val="none"/>
          <w:lang w:val="en-US" w:eastAsia="zh-CN"/>
        </w:rPr>
        <w:t>信息</w:t>
      </w:r>
      <w:r>
        <w:rPr>
          <w:rFonts w:hint="eastAsia" w:ascii="宋体" w:hAnsi="宋体"/>
          <w:color w:val="auto"/>
          <w:spacing w:val="8"/>
          <w:sz w:val="24"/>
          <w:highlight w:val="none"/>
        </w:rPr>
        <w:t>与法定代表人授权委托书不符；</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lang w:val="en-US" w:eastAsia="zh-CN"/>
        </w:rPr>
        <w:t>3</w:t>
      </w:r>
      <w:r>
        <w:rPr>
          <w:rFonts w:hint="eastAsia" w:ascii="宋体" w:hAnsi="宋体"/>
          <w:color w:val="auto"/>
          <w:spacing w:val="8"/>
          <w:sz w:val="24"/>
          <w:highlight w:val="none"/>
        </w:rPr>
        <w:t>)法定代表人授权委托书未加盖投标公章；</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lang w:val="en-US" w:eastAsia="zh-CN"/>
        </w:rPr>
        <w:t>4</w:t>
      </w:r>
      <w:r>
        <w:rPr>
          <w:rFonts w:hint="eastAsia" w:ascii="宋体" w:hAnsi="宋体"/>
          <w:color w:val="auto"/>
          <w:spacing w:val="8"/>
          <w:sz w:val="24"/>
          <w:highlight w:val="none"/>
        </w:rPr>
        <w:t>）招标文件要求提供的其它证件。</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3.7.4其它</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违反法律、法规及有关规定的其它行为。</w:t>
      </w:r>
    </w:p>
    <w:p>
      <w:pPr>
        <w:snapToGrid w:val="0"/>
        <w:spacing w:line="520" w:lineRule="exact"/>
        <w:ind w:right="-45"/>
        <w:rPr>
          <w:rFonts w:hint="eastAsia" w:ascii="宋体" w:hAnsi="宋体"/>
          <w:b/>
          <w:color w:val="auto"/>
          <w:spacing w:val="8"/>
          <w:sz w:val="24"/>
          <w:highlight w:val="none"/>
        </w:rPr>
      </w:pPr>
      <w:r>
        <w:rPr>
          <w:rFonts w:hint="eastAsia" w:ascii="宋体" w:hAnsi="宋体"/>
          <w:b/>
          <w:color w:val="auto"/>
          <w:spacing w:val="8"/>
          <w:sz w:val="24"/>
          <w:highlight w:val="none"/>
        </w:rPr>
        <w:t>四、开标及评标</w:t>
      </w:r>
    </w:p>
    <w:p>
      <w:pPr>
        <w:autoSpaceDE w:val="0"/>
        <w:autoSpaceDN w:val="0"/>
        <w:adjustRightInd w:val="0"/>
        <w:spacing w:line="520" w:lineRule="exact"/>
        <w:ind w:firstLine="522" w:firstLineChars="200"/>
        <w:jc w:val="left"/>
        <w:rPr>
          <w:rFonts w:ascii="宋体" w:hAnsi="宋体"/>
          <w:b/>
          <w:bCs/>
          <w:color w:val="auto"/>
          <w:spacing w:val="10"/>
          <w:kern w:val="0"/>
          <w:sz w:val="24"/>
          <w:szCs w:val="21"/>
          <w:highlight w:val="none"/>
        </w:rPr>
      </w:pPr>
      <w:r>
        <w:rPr>
          <w:rFonts w:hint="eastAsia" w:ascii="宋体" w:hAnsi="宋体"/>
          <w:b/>
          <w:bCs/>
          <w:color w:val="auto"/>
          <w:spacing w:val="10"/>
          <w:kern w:val="0"/>
          <w:sz w:val="24"/>
          <w:szCs w:val="21"/>
          <w:highlight w:val="none"/>
        </w:rPr>
        <w:t>4.1</w:t>
      </w:r>
      <w:r>
        <w:rPr>
          <w:rFonts w:ascii="宋体" w:hAnsi="宋体"/>
          <w:b/>
          <w:bCs/>
          <w:color w:val="auto"/>
          <w:spacing w:val="10"/>
          <w:kern w:val="0"/>
          <w:sz w:val="24"/>
          <w:szCs w:val="21"/>
          <w:highlight w:val="none"/>
        </w:rPr>
        <w:t xml:space="preserve"> </w:t>
      </w:r>
      <w:r>
        <w:rPr>
          <w:rFonts w:hint="eastAsia" w:ascii="宋体" w:hAnsi="宋体"/>
          <w:b/>
          <w:bCs/>
          <w:color w:val="auto"/>
          <w:spacing w:val="10"/>
          <w:kern w:val="0"/>
          <w:sz w:val="24"/>
          <w:szCs w:val="21"/>
          <w:highlight w:val="none"/>
        </w:rPr>
        <w:t>开标</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4.1</w:t>
      </w:r>
      <w:r>
        <w:rPr>
          <w:rFonts w:ascii="宋体" w:hAnsi="宋体"/>
          <w:color w:val="auto"/>
          <w:spacing w:val="10"/>
          <w:kern w:val="0"/>
          <w:sz w:val="24"/>
          <w:szCs w:val="21"/>
          <w:highlight w:val="none"/>
        </w:rPr>
        <w:t xml:space="preserve">.1 </w:t>
      </w:r>
      <w:r>
        <w:rPr>
          <w:rFonts w:hint="eastAsia" w:ascii="宋体" w:hAnsi="宋体"/>
          <w:color w:val="auto"/>
          <w:spacing w:val="10"/>
          <w:kern w:val="0"/>
          <w:sz w:val="24"/>
          <w:szCs w:val="21"/>
          <w:highlight w:val="none"/>
        </w:rPr>
        <w:t>采购人按本须知前附表所规定的时间和地点进行公开开标。</w:t>
      </w:r>
      <w:r>
        <w:rPr>
          <w:rFonts w:hint="eastAsia" w:ascii="宋体" w:hAnsi="宋体"/>
          <w:color w:val="auto"/>
          <w:spacing w:val="10"/>
          <w:kern w:val="0"/>
          <w:sz w:val="24"/>
          <w:szCs w:val="21"/>
          <w:highlight w:val="none"/>
          <w:lang w:val="en-US" w:eastAsia="zh-CN"/>
        </w:rPr>
        <w:t>采购人及监督人等</w:t>
      </w:r>
      <w:r>
        <w:rPr>
          <w:rFonts w:hint="eastAsia" w:ascii="宋体" w:hAnsi="宋体"/>
          <w:color w:val="auto"/>
          <w:spacing w:val="10"/>
          <w:sz w:val="24"/>
          <w:highlight w:val="none"/>
          <w:lang w:val="en-US" w:eastAsia="zh-CN"/>
        </w:rPr>
        <w:t>与会代表在签到表上签字</w:t>
      </w:r>
      <w:r>
        <w:rPr>
          <w:rFonts w:hint="eastAsia" w:ascii="宋体" w:hAnsi="宋体"/>
          <w:color w:val="auto"/>
          <w:spacing w:val="10"/>
          <w:sz w:val="24"/>
          <w:highlight w:val="none"/>
        </w:rPr>
        <w:t>以证明其出席开标会议。</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4.1</w:t>
      </w:r>
      <w:r>
        <w:rPr>
          <w:rFonts w:ascii="宋体" w:hAnsi="宋体"/>
          <w:color w:val="auto"/>
          <w:spacing w:val="10"/>
          <w:kern w:val="0"/>
          <w:sz w:val="24"/>
          <w:szCs w:val="21"/>
          <w:highlight w:val="none"/>
        </w:rPr>
        <w:t>.</w:t>
      </w:r>
      <w:r>
        <w:rPr>
          <w:rFonts w:hint="eastAsia" w:ascii="宋体" w:hAnsi="宋体"/>
          <w:color w:val="auto"/>
          <w:spacing w:val="10"/>
          <w:kern w:val="0"/>
          <w:sz w:val="24"/>
          <w:szCs w:val="21"/>
          <w:highlight w:val="none"/>
          <w:lang w:val="en-US" w:eastAsia="zh-CN"/>
        </w:rPr>
        <w:t>2</w:t>
      </w:r>
      <w:r>
        <w:rPr>
          <w:rFonts w:ascii="宋体" w:hAnsi="宋体"/>
          <w:color w:val="auto"/>
          <w:spacing w:val="10"/>
          <w:kern w:val="0"/>
          <w:sz w:val="24"/>
          <w:szCs w:val="21"/>
          <w:highlight w:val="none"/>
        </w:rPr>
        <w:t xml:space="preserve"> </w:t>
      </w:r>
      <w:r>
        <w:rPr>
          <w:rFonts w:hint="eastAsia" w:ascii="宋体" w:hAnsi="宋体"/>
          <w:color w:val="auto"/>
          <w:spacing w:val="10"/>
          <w:kern w:val="0"/>
          <w:sz w:val="24"/>
          <w:szCs w:val="21"/>
          <w:highlight w:val="none"/>
        </w:rPr>
        <w:t>开标程序：</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(1)</w:t>
      </w:r>
      <w:r>
        <w:rPr>
          <w:rFonts w:ascii="宋体" w:hAnsi="宋体"/>
          <w:color w:val="auto"/>
          <w:spacing w:val="10"/>
          <w:kern w:val="0"/>
          <w:sz w:val="24"/>
          <w:szCs w:val="21"/>
          <w:highlight w:val="none"/>
        </w:rPr>
        <w:t xml:space="preserve"> </w:t>
      </w:r>
      <w:r>
        <w:rPr>
          <w:rFonts w:hint="eastAsia" w:ascii="宋体" w:hAnsi="宋体"/>
          <w:color w:val="auto"/>
          <w:spacing w:val="10"/>
          <w:kern w:val="0"/>
          <w:sz w:val="24"/>
          <w:szCs w:val="21"/>
          <w:highlight w:val="none"/>
        </w:rPr>
        <w:t>开标</w:t>
      </w:r>
      <w:r>
        <w:rPr>
          <w:rFonts w:hint="eastAsia" w:ascii="宋体" w:hAnsi="宋体"/>
          <w:color w:val="auto"/>
          <w:spacing w:val="10"/>
          <w:sz w:val="24"/>
          <w:highlight w:val="none"/>
        </w:rPr>
        <w:t>在有关单位监督下</w:t>
      </w:r>
      <w:r>
        <w:rPr>
          <w:rFonts w:hint="eastAsia" w:ascii="宋体" w:hAnsi="宋体"/>
          <w:color w:val="auto"/>
          <w:spacing w:val="10"/>
          <w:kern w:val="0"/>
          <w:sz w:val="24"/>
          <w:szCs w:val="21"/>
          <w:highlight w:val="none"/>
        </w:rPr>
        <w:t>由招标代理单位组织并主持；</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(2) 由</w:t>
      </w:r>
      <w:r>
        <w:rPr>
          <w:rFonts w:hint="eastAsia" w:ascii="宋体" w:hAnsi="宋体"/>
          <w:color w:val="auto"/>
          <w:spacing w:val="10"/>
          <w:kern w:val="0"/>
          <w:sz w:val="24"/>
          <w:szCs w:val="21"/>
          <w:highlight w:val="none"/>
          <w:lang w:eastAsia="zh-CN"/>
        </w:rPr>
        <w:t>介绍出席会议有关单位及投标文件递交情况</w:t>
      </w:r>
      <w:r>
        <w:rPr>
          <w:rFonts w:hint="eastAsia" w:ascii="宋体" w:hAnsi="宋体"/>
          <w:color w:val="auto"/>
          <w:spacing w:val="10"/>
          <w:kern w:val="0"/>
          <w:sz w:val="24"/>
          <w:szCs w:val="21"/>
          <w:highlight w:val="none"/>
        </w:rPr>
        <w:t>；</w:t>
      </w:r>
    </w:p>
    <w:p>
      <w:pPr>
        <w:autoSpaceDE w:val="0"/>
        <w:autoSpaceDN w:val="0"/>
        <w:adjustRightInd w:val="0"/>
        <w:spacing w:line="520" w:lineRule="exact"/>
        <w:ind w:firstLine="520" w:firstLineChars="200"/>
        <w:jc w:val="left"/>
        <w:rPr>
          <w:rFonts w:hint="eastAsia" w:ascii="宋体" w:hAnsi="宋体"/>
          <w:color w:val="auto"/>
          <w:spacing w:val="10"/>
          <w:kern w:val="0"/>
          <w:sz w:val="24"/>
          <w:szCs w:val="21"/>
          <w:highlight w:val="none"/>
        </w:rPr>
      </w:pPr>
      <w:r>
        <w:rPr>
          <w:rFonts w:hint="eastAsia" w:ascii="宋体" w:hAnsi="宋体"/>
          <w:color w:val="auto"/>
          <w:spacing w:val="10"/>
          <w:kern w:val="0"/>
          <w:sz w:val="24"/>
          <w:szCs w:val="21"/>
          <w:highlight w:val="none"/>
        </w:rPr>
        <w:t xml:space="preserve">(3) </w:t>
      </w:r>
      <w:r>
        <w:rPr>
          <w:rFonts w:hint="eastAsia" w:ascii="宋体" w:hAnsi="宋体"/>
          <w:color w:val="auto"/>
          <w:spacing w:val="10"/>
          <w:kern w:val="0"/>
          <w:sz w:val="24"/>
          <w:szCs w:val="21"/>
          <w:highlight w:val="none"/>
          <w:lang w:val="en-US" w:eastAsia="zh-CN"/>
        </w:rPr>
        <w:t>批量获取已递交的投标文件并远程解密</w:t>
      </w:r>
      <w:r>
        <w:rPr>
          <w:rFonts w:hint="eastAsia" w:ascii="宋体" w:hAnsi="宋体"/>
          <w:color w:val="auto"/>
          <w:spacing w:val="10"/>
          <w:kern w:val="0"/>
          <w:sz w:val="24"/>
          <w:szCs w:val="21"/>
          <w:highlight w:val="none"/>
        </w:rPr>
        <w:t>；</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4.1</w:t>
      </w:r>
      <w:r>
        <w:rPr>
          <w:rFonts w:ascii="宋体" w:hAnsi="宋体"/>
          <w:color w:val="auto"/>
          <w:spacing w:val="10"/>
          <w:kern w:val="0"/>
          <w:sz w:val="24"/>
          <w:szCs w:val="21"/>
          <w:highlight w:val="none"/>
        </w:rPr>
        <w:t>.</w:t>
      </w:r>
      <w:r>
        <w:rPr>
          <w:rFonts w:hint="eastAsia" w:ascii="宋体" w:hAnsi="宋体"/>
          <w:color w:val="auto"/>
          <w:spacing w:val="10"/>
          <w:kern w:val="0"/>
          <w:sz w:val="24"/>
          <w:szCs w:val="21"/>
          <w:highlight w:val="none"/>
          <w:lang w:val="en-US" w:eastAsia="zh-CN"/>
        </w:rPr>
        <w:t>3</w:t>
      </w:r>
      <w:r>
        <w:rPr>
          <w:rFonts w:ascii="宋体" w:hAnsi="宋体"/>
          <w:color w:val="auto"/>
          <w:spacing w:val="10"/>
          <w:kern w:val="0"/>
          <w:sz w:val="24"/>
          <w:szCs w:val="21"/>
          <w:highlight w:val="none"/>
        </w:rPr>
        <w:t xml:space="preserve"> </w:t>
      </w:r>
      <w:r>
        <w:rPr>
          <w:rFonts w:hint="eastAsia" w:ascii="宋体" w:hAnsi="宋体"/>
          <w:color w:val="auto"/>
          <w:spacing w:val="10"/>
          <w:kern w:val="0"/>
          <w:sz w:val="24"/>
          <w:szCs w:val="21"/>
          <w:highlight w:val="none"/>
        </w:rPr>
        <w:t>招标代理单位</w:t>
      </w:r>
      <w:r>
        <w:rPr>
          <w:rFonts w:hint="eastAsia" w:ascii="宋体" w:hAnsi="宋体"/>
          <w:color w:val="auto"/>
          <w:spacing w:val="10"/>
          <w:kern w:val="0"/>
          <w:sz w:val="24"/>
          <w:szCs w:val="21"/>
          <w:highlight w:val="none"/>
          <w:lang w:eastAsia="zh-CN"/>
        </w:rPr>
        <w:t>通过交易中心电子开标系统开启电子投标文件并唱标，</w:t>
      </w:r>
      <w:r>
        <w:rPr>
          <w:rFonts w:hint="eastAsia" w:ascii="宋体" w:hAnsi="宋体"/>
          <w:color w:val="auto"/>
          <w:spacing w:val="10"/>
          <w:kern w:val="0"/>
          <w:sz w:val="24"/>
          <w:szCs w:val="21"/>
          <w:highlight w:val="none"/>
        </w:rPr>
        <w:t>对开标过程进行记录，</w:t>
      </w:r>
      <w:r>
        <w:rPr>
          <w:rFonts w:hint="eastAsia" w:ascii="宋体" w:hAnsi="宋体"/>
          <w:color w:val="auto"/>
          <w:spacing w:val="10"/>
          <w:kern w:val="0"/>
          <w:sz w:val="24"/>
          <w:szCs w:val="21"/>
          <w:highlight w:val="none"/>
          <w:lang w:eastAsia="zh-CN"/>
        </w:rPr>
        <w:t>由交易各方对开标记录结果确认并签字，资料</w:t>
      </w:r>
      <w:r>
        <w:rPr>
          <w:rFonts w:hint="eastAsia" w:ascii="宋体" w:hAnsi="宋体"/>
          <w:color w:val="auto"/>
          <w:spacing w:val="10"/>
          <w:kern w:val="0"/>
          <w:sz w:val="24"/>
          <w:szCs w:val="21"/>
          <w:highlight w:val="none"/>
        </w:rPr>
        <w:t>存档备查。</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4.1.</w:t>
      </w:r>
      <w:r>
        <w:rPr>
          <w:rFonts w:hint="eastAsia" w:ascii="宋体" w:hAnsi="宋体"/>
          <w:color w:val="auto"/>
          <w:spacing w:val="8"/>
          <w:sz w:val="24"/>
          <w:highlight w:val="none"/>
          <w:lang w:val="en-US" w:eastAsia="zh-CN"/>
        </w:rPr>
        <w:t>4</w:t>
      </w:r>
      <w:r>
        <w:rPr>
          <w:rFonts w:hint="eastAsia" w:ascii="宋体" w:hAnsi="宋体"/>
          <w:color w:val="auto"/>
          <w:spacing w:val="8"/>
          <w:sz w:val="24"/>
          <w:highlight w:val="none"/>
        </w:rPr>
        <w:t>有重大偏离的投标文件将被拒绝。</w:t>
      </w:r>
    </w:p>
    <w:p>
      <w:pPr>
        <w:snapToGrid w:val="0"/>
        <w:spacing w:line="520" w:lineRule="exact"/>
        <w:ind w:right="-45" w:firstLine="514" w:firstLineChars="200"/>
        <w:rPr>
          <w:rFonts w:hint="eastAsia" w:ascii="宋体" w:hAnsi="宋体"/>
          <w:b/>
          <w:bCs/>
          <w:color w:val="auto"/>
          <w:spacing w:val="8"/>
          <w:sz w:val="24"/>
          <w:highlight w:val="none"/>
        </w:rPr>
      </w:pPr>
      <w:r>
        <w:rPr>
          <w:rFonts w:hint="eastAsia" w:ascii="宋体" w:hAnsi="宋体"/>
          <w:b/>
          <w:bCs/>
          <w:color w:val="auto"/>
          <w:spacing w:val="8"/>
          <w:sz w:val="24"/>
          <w:highlight w:val="none"/>
        </w:rPr>
        <w:t>4.2评标</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4.2.1评标的依据</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招标文件和投标文件。</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4.2.2评标原则</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评标将严格按照《中华人民共和国政府采购法》的有关规定，公平、公正，科学合理的原则进行评标工作。</w:t>
      </w:r>
    </w:p>
    <w:p>
      <w:pPr>
        <w:snapToGrid w:val="0"/>
        <w:spacing w:line="520" w:lineRule="exact"/>
        <w:ind w:right="-45"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4.2.3评标组织</w:t>
      </w:r>
    </w:p>
    <w:p>
      <w:pPr>
        <w:autoSpaceDE w:val="0"/>
        <w:autoSpaceDN w:val="0"/>
        <w:adjustRightInd w:val="0"/>
        <w:spacing w:line="520" w:lineRule="exact"/>
        <w:ind w:firstLine="480" w:firstLineChars="200"/>
        <w:jc w:val="left"/>
        <w:rPr>
          <w:rFonts w:ascii="宋体" w:hAnsi="宋体"/>
          <w:color w:val="auto"/>
          <w:spacing w:val="10"/>
          <w:kern w:val="0"/>
          <w:sz w:val="24"/>
          <w:szCs w:val="21"/>
          <w:highlight w:val="none"/>
        </w:rPr>
      </w:pPr>
      <w:r>
        <w:rPr>
          <w:rFonts w:hint="eastAsia" w:ascii="宋体" w:hAnsi="宋体"/>
          <w:color w:val="auto"/>
          <w:sz w:val="24"/>
          <w:highlight w:val="none"/>
        </w:rPr>
        <w:t>评标由采购人依法组建的评标委员会负责，评标委员会由采购人的代表和从河北省统一专家库中随机抽取的有关技术、经济等方面的专家组成，成员人数为五人以上单数，其中技术、经济等方面的专家不得少于成员总数的三分之二，与投标人有利益或隶属关系的专家不能担任评委。开标结束后，开始评标，评标采用保密方式进行。</w:t>
      </w:r>
    </w:p>
    <w:p>
      <w:pPr>
        <w:autoSpaceDE w:val="0"/>
        <w:autoSpaceDN w:val="0"/>
        <w:adjustRightInd w:val="0"/>
        <w:spacing w:line="520" w:lineRule="exact"/>
        <w:ind w:firstLine="522" w:firstLineChars="200"/>
        <w:jc w:val="left"/>
        <w:rPr>
          <w:rFonts w:ascii="宋体" w:hAnsi="宋体"/>
          <w:b/>
          <w:bCs/>
          <w:color w:val="auto"/>
          <w:spacing w:val="10"/>
          <w:kern w:val="0"/>
          <w:sz w:val="24"/>
          <w:szCs w:val="21"/>
          <w:highlight w:val="none"/>
        </w:rPr>
      </w:pPr>
      <w:r>
        <w:rPr>
          <w:rFonts w:hint="eastAsia" w:ascii="宋体" w:hAnsi="宋体"/>
          <w:b/>
          <w:bCs/>
          <w:color w:val="auto"/>
          <w:spacing w:val="10"/>
          <w:kern w:val="0"/>
          <w:sz w:val="24"/>
          <w:szCs w:val="21"/>
          <w:highlight w:val="none"/>
        </w:rPr>
        <w:t>4.3评标过程的保密</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4.3</w:t>
      </w:r>
      <w:r>
        <w:rPr>
          <w:rFonts w:ascii="宋体" w:hAnsi="宋体"/>
          <w:color w:val="auto"/>
          <w:spacing w:val="10"/>
          <w:kern w:val="0"/>
          <w:sz w:val="24"/>
          <w:szCs w:val="21"/>
          <w:highlight w:val="none"/>
        </w:rPr>
        <w:t>.1</w:t>
      </w:r>
      <w:r>
        <w:rPr>
          <w:rFonts w:hint="eastAsia" w:ascii="宋体" w:hAnsi="宋体"/>
          <w:color w:val="auto"/>
          <w:spacing w:val="10"/>
          <w:kern w:val="0"/>
          <w:sz w:val="24"/>
          <w:szCs w:val="21"/>
          <w:highlight w:val="none"/>
        </w:rPr>
        <w:t>开标后，直至授予中标人合同为止，凡属于对投标文件的审查、澄清、评价和比较有关的资料以及中标人的推荐情况，与评标有关的其他任何情况均严格保密。</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4.3</w:t>
      </w:r>
      <w:r>
        <w:rPr>
          <w:rFonts w:ascii="宋体" w:hAnsi="宋体"/>
          <w:color w:val="auto"/>
          <w:spacing w:val="10"/>
          <w:kern w:val="0"/>
          <w:sz w:val="24"/>
          <w:szCs w:val="21"/>
          <w:highlight w:val="none"/>
        </w:rPr>
        <w:t xml:space="preserve">.2 </w:t>
      </w:r>
      <w:r>
        <w:rPr>
          <w:rFonts w:hint="eastAsia" w:ascii="宋体" w:hAnsi="宋体"/>
          <w:color w:val="auto"/>
          <w:spacing w:val="10"/>
          <w:kern w:val="0"/>
          <w:sz w:val="24"/>
          <w:szCs w:val="21"/>
          <w:highlight w:val="none"/>
        </w:rPr>
        <w:t>在投标文件的评审和比较、确定中标人以及授予合同的过程中，投标人向采购人、招标代理单位和评标委员会施加影响的任何行为，都将会导致其投标被拒绝。</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4.3</w:t>
      </w:r>
      <w:r>
        <w:rPr>
          <w:rFonts w:ascii="宋体" w:hAnsi="宋体"/>
          <w:color w:val="auto"/>
          <w:spacing w:val="10"/>
          <w:kern w:val="0"/>
          <w:sz w:val="24"/>
          <w:szCs w:val="21"/>
          <w:highlight w:val="none"/>
        </w:rPr>
        <w:t xml:space="preserve">.3 </w:t>
      </w:r>
      <w:r>
        <w:rPr>
          <w:rFonts w:hint="eastAsia" w:ascii="宋体" w:hAnsi="宋体"/>
          <w:color w:val="auto"/>
          <w:spacing w:val="10"/>
          <w:kern w:val="0"/>
          <w:sz w:val="24"/>
          <w:szCs w:val="21"/>
          <w:highlight w:val="none"/>
        </w:rPr>
        <w:t>中标人确定后，采购人及招标代理单位不对未中标人就评标过程以及未能中标原因做出任何解释。未中标人不得向评标委员会组成人员或其他有关人员索问评标过程的情况和材料。</w:t>
      </w:r>
    </w:p>
    <w:p>
      <w:pPr>
        <w:autoSpaceDE w:val="0"/>
        <w:autoSpaceDN w:val="0"/>
        <w:adjustRightInd w:val="0"/>
        <w:spacing w:line="520" w:lineRule="exact"/>
        <w:ind w:firstLine="522" w:firstLineChars="200"/>
        <w:jc w:val="left"/>
        <w:rPr>
          <w:rFonts w:ascii="宋体" w:hAnsi="宋体"/>
          <w:b/>
          <w:bCs/>
          <w:color w:val="auto"/>
          <w:spacing w:val="10"/>
          <w:kern w:val="0"/>
          <w:sz w:val="24"/>
          <w:szCs w:val="21"/>
          <w:highlight w:val="none"/>
        </w:rPr>
      </w:pPr>
      <w:r>
        <w:rPr>
          <w:rFonts w:hint="eastAsia" w:ascii="宋体" w:hAnsi="宋体"/>
          <w:b/>
          <w:bCs/>
          <w:color w:val="auto"/>
          <w:spacing w:val="10"/>
          <w:kern w:val="0"/>
          <w:sz w:val="24"/>
          <w:szCs w:val="21"/>
          <w:highlight w:val="none"/>
        </w:rPr>
        <w:t>4.4</w:t>
      </w:r>
      <w:r>
        <w:rPr>
          <w:rFonts w:ascii="宋体" w:hAnsi="宋体"/>
          <w:b/>
          <w:bCs/>
          <w:color w:val="auto"/>
          <w:spacing w:val="10"/>
          <w:kern w:val="0"/>
          <w:sz w:val="24"/>
          <w:szCs w:val="21"/>
          <w:highlight w:val="none"/>
        </w:rPr>
        <w:t xml:space="preserve"> </w:t>
      </w:r>
      <w:r>
        <w:rPr>
          <w:rFonts w:hint="eastAsia" w:ascii="宋体" w:hAnsi="宋体"/>
          <w:b/>
          <w:bCs/>
          <w:color w:val="auto"/>
          <w:spacing w:val="10"/>
          <w:kern w:val="0"/>
          <w:sz w:val="24"/>
          <w:szCs w:val="21"/>
          <w:highlight w:val="none"/>
        </w:rPr>
        <w:t>投标文件的澄清</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4.4</w:t>
      </w:r>
      <w:r>
        <w:rPr>
          <w:rFonts w:ascii="宋体" w:hAnsi="宋体"/>
          <w:color w:val="auto"/>
          <w:spacing w:val="10"/>
          <w:kern w:val="0"/>
          <w:sz w:val="24"/>
          <w:szCs w:val="21"/>
          <w:highlight w:val="none"/>
        </w:rPr>
        <w:t xml:space="preserve">.1 </w:t>
      </w:r>
      <w:r>
        <w:rPr>
          <w:rFonts w:hint="eastAsia" w:ascii="宋体" w:hAnsi="宋体"/>
          <w:color w:val="auto"/>
          <w:spacing w:val="10"/>
          <w:kern w:val="0"/>
          <w:sz w:val="24"/>
          <w:szCs w:val="21"/>
          <w:highlight w:val="none"/>
        </w:rPr>
        <w:t>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凡属于评标委员会在评标中发现的计算错误并进行核实的修改不在此列。</w:t>
      </w:r>
    </w:p>
    <w:p>
      <w:pPr>
        <w:autoSpaceDE w:val="0"/>
        <w:autoSpaceDN w:val="0"/>
        <w:adjustRightInd w:val="0"/>
        <w:spacing w:line="520" w:lineRule="exact"/>
        <w:ind w:firstLine="522" w:firstLineChars="200"/>
        <w:jc w:val="left"/>
        <w:rPr>
          <w:rFonts w:ascii="宋体" w:hAnsi="宋体"/>
          <w:b/>
          <w:bCs/>
          <w:color w:val="auto"/>
          <w:spacing w:val="10"/>
          <w:kern w:val="0"/>
          <w:sz w:val="24"/>
          <w:highlight w:val="none"/>
        </w:rPr>
      </w:pPr>
      <w:r>
        <w:rPr>
          <w:rFonts w:hint="eastAsia" w:ascii="宋体" w:hAnsi="宋体"/>
          <w:b/>
          <w:bCs/>
          <w:color w:val="auto"/>
          <w:spacing w:val="10"/>
          <w:kern w:val="0"/>
          <w:sz w:val="24"/>
          <w:szCs w:val="21"/>
          <w:highlight w:val="none"/>
        </w:rPr>
        <w:t>4.5</w:t>
      </w:r>
      <w:r>
        <w:rPr>
          <w:rFonts w:ascii="宋体" w:hAnsi="宋体"/>
          <w:b/>
          <w:bCs/>
          <w:color w:val="auto"/>
          <w:spacing w:val="10"/>
          <w:kern w:val="0"/>
          <w:sz w:val="24"/>
          <w:szCs w:val="21"/>
          <w:highlight w:val="none"/>
        </w:rPr>
        <w:t xml:space="preserve"> </w:t>
      </w:r>
      <w:r>
        <w:rPr>
          <w:rFonts w:hint="eastAsia" w:ascii="宋体" w:hAnsi="宋体"/>
          <w:b/>
          <w:bCs/>
          <w:color w:val="auto"/>
          <w:spacing w:val="10"/>
          <w:kern w:val="0"/>
          <w:sz w:val="24"/>
          <w:szCs w:val="21"/>
          <w:highlight w:val="none"/>
        </w:rPr>
        <w:t>投标文件的评审</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4.5</w:t>
      </w:r>
      <w:r>
        <w:rPr>
          <w:rFonts w:ascii="宋体" w:hAnsi="宋体"/>
          <w:color w:val="auto"/>
          <w:spacing w:val="10"/>
          <w:kern w:val="0"/>
          <w:sz w:val="24"/>
          <w:szCs w:val="21"/>
          <w:highlight w:val="none"/>
        </w:rPr>
        <w:t>.1</w:t>
      </w:r>
      <w:r>
        <w:rPr>
          <w:rFonts w:hint="eastAsia" w:ascii="宋体" w:hAnsi="宋体"/>
          <w:color w:val="auto"/>
          <w:spacing w:val="10"/>
          <w:kern w:val="0"/>
          <w:sz w:val="24"/>
          <w:szCs w:val="21"/>
          <w:highlight w:val="none"/>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autoSpaceDE w:val="0"/>
        <w:autoSpaceDN w:val="0"/>
        <w:adjustRightInd w:val="0"/>
        <w:spacing w:line="520" w:lineRule="exact"/>
        <w:ind w:firstLine="520" w:firstLineChars="200"/>
        <w:jc w:val="left"/>
        <w:rPr>
          <w:rFonts w:hint="eastAsia" w:ascii="宋体" w:hAnsi="宋体"/>
          <w:color w:val="auto"/>
          <w:spacing w:val="10"/>
          <w:kern w:val="0"/>
          <w:sz w:val="24"/>
          <w:szCs w:val="21"/>
          <w:highlight w:val="none"/>
        </w:rPr>
      </w:pPr>
      <w:r>
        <w:rPr>
          <w:rFonts w:hint="eastAsia" w:ascii="宋体" w:hAnsi="宋体"/>
          <w:color w:val="auto"/>
          <w:spacing w:val="10"/>
          <w:kern w:val="0"/>
          <w:sz w:val="24"/>
          <w:szCs w:val="21"/>
          <w:highlight w:val="none"/>
        </w:rPr>
        <w:t>4.5</w:t>
      </w:r>
      <w:r>
        <w:rPr>
          <w:rFonts w:ascii="宋体" w:hAnsi="宋体"/>
          <w:color w:val="auto"/>
          <w:spacing w:val="10"/>
          <w:kern w:val="0"/>
          <w:sz w:val="24"/>
          <w:szCs w:val="21"/>
          <w:highlight w:val="none"/>
        </w:rPr>
        <w:t>.</w:t>
      </w:r>
      <w:r>
        <w:rPr>
          <w:rFonts w:hint="eastAsia" w:ascii="宋体" w:hAnsi="宋体"/>
          <w:color w:val="auto"/>
          <w:spacing w:val="10"/>
          <w:kern w:val="0"/>
          <w:sz w:val="24"/>
          <w:szCs w:val="21"/>
          <w:highlight w:val="none"/>
        </w:rPr>
        <w:t>2</w:t>
      </w:r>
      <w:r>
        <w:rPr>
          <w:rFonts w:ascii="宋体" w:hAnsi="宋体"/>
          <w:color w:val="auto"/>
          <w:spacing w:val="10"/>
          <w:kern w:val="0"/>
          <w:sz w:val="24"/>
          <w:szCs w:val="21"/>
          <w:highlight w:val="none"/>
        </w:rPr>
        <w:t xml:space="preserve"> </w:t>
      </w:r>
      <w:r>
        <w:rPr>
          <w:rFonts w:hint="eastAsia" w:ascii="宋体" w:hAnsi="宋体"/>
          <w:color w:val="auto"/>
          <w:spacing w:val="10"/>
          <w:kern w:val="0"/>
          <w:sz w:val="24"/>
          <w:szCs w:val="21"/>
          <w:highlight w:val="none"/>
        </w:rPr>
        <w:t>如果投标文件实质上不响应招标文件的各项要求，评标委员会将予以拒绝，并且不允许投标人通过修改或撤销其不符合要求的差异或保留，使之成为具有响应性的投标。</w:t>
      </w:r>
    </w:p>
    <w:p>
      <w:pPr>
        <w:autoSpaceDE w:val="0"/>
        <w:autoSpaceDN w:val="0"/>
        <w:adjustRightInd w:val="0"/>
        <w:spacing w:line="520" w:lineRule="exact"/>
        <w:ind w:firstLine="522" w:firstLineChars="200"/>
        <w:jc w:val="left"/>
        <w:rPr>
          <w:rFonts w:hint="eastAsia" w:ascii="宋体" w:hAnsi="宋体"/>
          <w:b/>
          <w:color w:val="auto"/>
          <w:spacing w:val="10"/>
          <w:kern w:val="0"/>
          <w:sz w:val="24"/>
          <w:szCs w:val="21"/>
          <w:highlight w:val="none"/>
        </w:rPr>
      </w:pPr>
      <w:r>
        <w:rPr>
          <w:rFonts w:hint="eastAsia" w:ascii="宋体" w:hAnsi="宋体"/>
          <w:b/>
          <w:color w:val="auto"/>
          <w:spacing w:val="10"/>
          <w:kern w:val="0"/>
          <w:sz w:val="24"/>
          <w:szCs w:val="21"/>
          <w:highlight w:val="none"/>
        </w:rPr>
        <w:t>投标文件有下列情形者，经评标委员会评审后，按废标处理</w:t>
      </w:r>
    </w:p>
    <w:p>
      <w:pPr>
        <w:autoSpaceDE w:val="0"/>
        <w:autoSpaceDN w:val="0"/>
        <w:adjustRightInd w:val="0"/>
        <w:spacing w:line="520" w:lineRule="exact"/>
        <w:ind w:firstLine="520" w:firstLineChars="200"/>
        <w:jc w:val="left"/>
        <w:rPr>
          <w:rFonts w:hint="eastAsia" w:ascii="宋体" w:hAnsi="宋体"/>
          <w:color w:val="auto"/>
          <w:spacing w:val="10"/>
          <w:kern w:val="0"/>
          <w:sz w:val="24"/>
          <w:szCs w:val="21"/>
          <w:highlight w:val="none"/>
        </w:rPr>
      </w:pPr>
      <w:r>
        <w:rPr>
          <w:rFonts w:hint="eastAsia" w:ascii="宋体" w:hAnsi="宋体"/>
          <w:color w:val="auto"/>
          <w:spacing w:val="10"/>
          <w:kern w:val="0"/>
          <w:sz w:val="24"/>
          <w:szCs w:val="21"/>
          <w:highlight w:val="none"/>
        </w:rPr>
        <w:t>投标人递交两份或多份内容不同的投标文件，或在一份投标文件中对同一招标项目报有两个或多个报价，且未声明哪一个有效，按招标文件规定提交备选投标方案的除外；</w:t>
      </w:r>
    </w:p>
    <w:p>
      <w:pPr>
        <w:autoSpaceDE w:val="0"/>
        <w:autoSpaceDN w:val="0"/>
        <w:adjustRightInd w:val="0"/>
        <w:spacing w:line="520" w:lineRule="exact"/>
        <w:ind w:firstLine="522" w:firstLineChars="200"/>
        <w:jc w:val="left"/>
        <w:rPr>
          <w:rFonts w:ascii="宋体" w:hAnsi="宋体"/>
          <w:b/>
          <w:bCs/>
          <w:color w:val="auto"/>
          <w:spacing w:val="10"/>
          <w:kern w:val="0"/>
          <w:sz w:val="24"/>
          <w:szCs w:val="21"/>
          <w:highlight w:val="none"/>
        </w:rPr>
      </w:pPr>
      <w:r>
        <w:rPr>
          <w:rFonts w:hint="eastAsia" w:ascii="宋体" w:hAnsi="宋体"/>
          <w:b/>
          <w:bCs/>
          <w:color w:val="auto"/>
          <w:spacing w:val="10"/>
          <w:kern w:val="0"/>
          <w:sz w:val="24"/>
          <w:szCs w:val="21"/>
          <w:highlight w:val="none"/>
        </w:rPr>
        <w:t>4.6</w:t>
      </w:r>
      <w:r>
        <w:rPr>
          <w:rFonts w:ascii="宋体" w:hAnsi="宋体"/>
          <w:b/>
          <w:bCs/>
          <w:color w:val="auto"/>
          <w:spacing w:val="10"/>
          <w:kern w:val="0"/>
          <w:sz w:val="24"/>
          <w:szCs w:val="21"/>
          <w:highlight w:val="none"/>
        </w:rPr>
        <w:t xml:space="preserve"> </w:t>
      </w:r>
      <w:r>
        <w:rPr>
          <w:rFonts w:hint="eastAsia" w:ascii="宋体" w:hAnsi="宋体"/>
          <w:b/>
          <w:bCs/>
          <w:color w:val="auto"/>
          <w:spacing w:val="10"/>
          <w:kern w:val="0"/>
          <w:sz w:val="24"/>
          <w:szCs w:val="21"/>
          <w:highlight w:val="none"/>
        </w:rPr>
        <w:t>投标文件计算错误的修正</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评标委员会将对确定为实质上响应招标文件要求的投标文件进行校核，看其是否有计算或表达上的错误，修正错误的原则如下：</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(1)如果数字表示的金额和用文字表示的金额不一致时，应以文字表示的金额为准；</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(2)当单价与数量的乘积与合价不一致时，以单价为准，除非评标委员会认为单价有明显的小数点错误，此时应以标出的合价为准，并修改单价；</w:t>
      </w:r>
    </w:p>
    <w:p>
      <w:pPr>
        <w:autoSpaceDE w:val="0"/>
        <w:autoSpaceDN w:val="0"/>
        <w:adjustRightInd w:val="0"/>
        <w:spacing w:line="520" w:lineRule="exact"/>
        <w:ind w:firstLine="520" w:firstLineChars="200"/>
        <w:jc w:val="left"/>
        <w:rPr>
          <w:rFonts w:hint="eastAsia" w:ascii="宋体" w:hAnsi="宋体"/>
          <w:color w:val="auto"/>
          <w:spacing w:val="10"/>
          <w:kern w:val="0"/>
          <w:sz w:val="24"/>
          <w:szCs w:val="21"/>
          <w:highlight w:val="none"/>
        </w:rPr>
      </w:pPr>
      <w:r>
        <w:rPr>
          <w:rFonts w:hint="eastAsia" w:ascii="宋体" w:hAnsi="宋体"/>
          <w:color w:val="auto"/>
          <w:spacing w:val="10"/>
          <w:kern w:val="0"/>
          <w:sz w:val="24"/>
          <w:szCs w:val="21"/>
          <w:highlight w:val="none"/>
        </w:rPr>
        <w:t>(3)按上述修正错误的原则及方法调整或修正投标文件的投标报价，投标人同意后，调整后的投标报价对投标人起约束作用。</w:t>
      </w:r>
    </w:p>
    <w:p>
      <w:pPr>
        <w:autoSpaceDE w:val="0"/>
        <w:autoSpaceDN w:val="0"/>
        <w:adjustRightInd w:val="0"/>
        <w:spacing w:line="520" w:lineRule="exact"/>
        <w:ind w:firstLine="520" w:firstLineChars="200"/>
        <w:jc w:val="left"/>
        <w:rPr>
          <w:rFonts w:hint="eastAsia" w:ascii="宋体" w:hAnsi="宋体"/>
          <w:color w:val="auto"/>
          <w:spacing w:val="10"/>
          <w:kern w:val="0"/>
          <w:sz w:val="24"/>
          <w:szCs w:val="21"/>
          <w:highlight w:val="none"/>
        </w:rPr>
      </w:pPr>
      <w:r>
        <w:rPr>
          <w:rFonts w:hint="eastAsia" w:ascii="宋体" w:hAnsi="宋体"/>
          <w:color w:val="auto"/>
          <w:spacing w:val="10"/>
          <w:kern w:val="0"/>
          <w:sz w:val="24"/>
          <w:szCs w:val="21"/>
          <w:highlight w:val="none"/>
        </w:rPr>
        <w:t>（4）</w:t>
      </w:r>
      <w:r>
        <w:rPr>
          <w:rFonts w:hint="eastAsia" w:ascii="宋体" w:hAnsi="宋体"/>
          <w:color w:val="auto"/>
          <w:spacing w:val="8"/>
          <w:sz w:val="24"/>
          <w:highlight w:val="none"/>
        </w:rPr>
        <w:t>投标文件投标</w:t>
      </w:r>
      <w:r>
        <w:rPr>
          <w:rFonts w:hint="eastAsia" w:ascii="宋体" w:hAnsi="宋体"/>
          <w:color w:val="auto"/>
          <w:spacing w:val="8"/>
          <w:sz w:val="24"/>
          <w:highlight w:val="none"/>
          <w:lang w:eastAsia="zh-CN"/>
        </w:rPr>
        <w:t>函</w:t>
      </w:r>
      <w:r>
        <w:rPr>
          <w:rFonts w:hint="eastAsia" w:ascii="宋体" w:hAnsi="宋体"/>
          <w:color w:val="auto"/>
          <w:spacing w:val="8"/>
          <w:sz w:val="24"/>
          <w:highlight w:val="none"/>
        </w:rPr>
        <w:t>中文字报价与投标报价明细表中单价合计不一致的不在上述修正范围，文件做无效投标处理。</w:t>
      </w:r>
    </w:p>
    <w:p>
      <w:pPr>
        <w:autoSpaceDE w:val="0"/>
        <w:autoSpaceDN w:val="0"/>
        <w:adjustRightInd w:val="0"/>
        <w:spacing w:line="520" w:lineRule="exact"/>
        <w:ind w:firstLine="522" w:firstLineChars="200"/>
        <w:jc w:val="left"/>
        <w:rPr>
          <w:rFonts w:ascii="宋体" w:hAnsi="宋体"/>
          <w:b/>
          <w:bCs/>
          <w:color w:val="auto"/>
          <w:spacing w:val="10"/>
          <w:kern w:val="0"/>
          <w:sz w:val="24"/>
          <w:szCs w:val="21"/>
          <w:highlight w:val="none"/>
        </w:rPr>
      </w:pPr>
      <w:r>
        <w:rPr>
          <w:rFonts w:hint="eastAsia" w:ascii="宋体" w:hAnsi="宋体"/>
          <w:b/>
          <w:bCs/>
          <w:color w:val="auto"/>
          <w:spacing w:val="10"/>
          <w:kern w:val="0"/>
          <w:sz w:val="24"/>
          <w:szCs w:val="21"/>
          <w:highlight w:val="none"/>
        </w:rPr>
        <w:t>4.7</w:t>
      </w:r>
      <w:r>
        <w:rPr>
          <w:rFonts w:ascii="宋体" w:hAnsi="宋体"/>
          <w:b/>
          <w:bCs/>
          <w:color w:val="auto"/>
          <w:spacing w:val="10"/>
          <w:kern w:val="0"/>
          <w:sz w:val="24"/>
          <w:szCs w:val="21"/>
          <w:highlight w:val="none"/>
        </w:rPr>
        <w:t xml:space="preserve"> </w:t>
      </w:r>
      <w:r>
        <w:rPr>
          <w:rFonts w:hint="eastAsia" w:ascii="宋体" w:hAnsi="宋体"/>
          <w:b/>
          <w:bCs/>
          <w:color w:val="auto"/>
          <w:spacing w:val="10"/>
          <w:kern w:val="0"/>
          <w:sz w:val="24"/>
          <w:szCs w:val="21"/>
          <w:highlight w:val="none"/>
        </w:rPr>
        <w:t>投标文件的评审、比较和否决</w:t>
      </w:r>
    </w:p>
    <w:p>
      <w:pPr>
        <w:autoSpaceDE w:val="0"/>
        <w:autoSpaceDN w:val="0"/>
        <w:adjustRightInd w:val="0"/>
        <w:spacing w:line="520" w:lineRule="exact"/>
        <w:ind w:firstLine="520" w:firstLineChars="200"/>
        <w:jc w:val="left"/>
        <w:rPr>
          <w:rFonts w:hint="eastAsia" w:ascii="宋体" w:hAnsi="宋体"/>
          <w:color w:val="auto"/>
          <w:spacing w:val="10"/>
          <w:kern w:val="0"/>
          <w:sz w:val="24"/>
          <w:szCs w:val="21"/>
          <w:highlight w:val="none"/>
        </w:rPr>
      </w:pPr>
      <w:r>
        <w:rPr>
          <w:rFonts w:hint="eastAsia" w:ascii="宋体" w:hAnsi="宋体"/>
          <w:color w:val="auto"/>
          <w:spacing w:val="10"/>
          <w:kern w:val="0"/>
          <w:sz w:val="24"/>
          <w:szCs w:val="21"/>
          <w:highlight w:val="none"/>
        </w:rPr>
        <w:t>4.7</w:t>
      </w:r>
      <w:r>
        <w:rPr>
          <w:rFonts w:ascii="宋体" w:hAnsi="宋体"/>
          <w:color w:val="auto"/>
          <w:spacing w:val="10"/>
          <w:kern w:val="0"/>
          <w:sz w:val="24"/>
          <w:szCs w:val="21"/>
          <w:highlight w:val="none"/>
        </w:rPr>
        <w:t>.1</w:t>
      </w:r>
      <w:r>
        <w:rPr>
          <w:rFonts w:hint="eastAsia" w:ascii="宋体" w:hAnsi="宋体"/>
          <w:color w:val="auto"/>
          <w:spacing w:val="10"/>
          <w:kern w:val="0"/>
          <w:sz w:val="24"/>
          <w:szCs w:val="21"/>
          <w:highlight w:val="none"/>
        </w:rPr>
        <w:t>评标委员会将按照本须知第4.5条规定，仅对在实质上响应招标文件要求的投标文件进行综合评审；</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4.7</w:t>
      </w:r>
      <w:r>
        <w:rPr>
          <w:rFonts w:ascii="宋体" w:hAnsi="宋体"/>
          <w:color w:val="auto"/>
          <w:spacing w:val="10"/>
          <w:kern w:val="0"/>
          <w:sz w:val="24"/>
          <w:szCs w:val="21"/>
          <w:highlight w:val="none"/>
        </w:rPr>
        <w:t xml:space="preserve">.2 </w:t>
      </w:r>
      <w:r>
        <w:rPr>
          <w:rFonts w:hint="eastAsia" w:ascii="宋体" w:hAnsi="宋体"/>
          <w:color w:val="auto"/>
          <w:spacing w:val="10"/>
          <w:kern w:val="0"/>
          <w:sz w:val="24"/>
          <w:szCs w:val="21"/>
          <w:highlight w:val="none"/>
        </w:rPr>
        <w:t>在评审过程中，评标委员会可以以书面形式要求投标人就投标文件中含义不明确的内容进行书面说明并提供相关材料。</w:t>
      </w:r>
    </w:p>
    <w:p>
      <w:pPr>
        <w:autoSpaceDE w:val="0"/>
        <w:autoSpaceDN w:val="0"/>
        <w:adjustRightInd w:val="0"/>
        <w:spacing w:line="520" w:lineRule="exact"/>
        <w:ind w:firstLine="520" w:firstLineChars="200"/>
        <w:jc w:val="left"/>
        <w:rPr>
          <w:rFonts w:hint="eastAsia" w:ascii="宋体" w:hAnsi="宋体"/>
          <w:color w:val="auto"/>
          <w:spacing w:val="10"/>
          <w:kern w:val="0"/>
          <w:sz w:val="24"/>
          <w:szCs w:val="21"/>
          <w:highlight w:val="none"/>
        </w:rPr>
      </w:pPr>
      <w:r>
        <w:rPr>
          <w:rFonts w:hint="eastAsia" w:ascii="宋体" w:hAnsi="宋体"/>
          <w:color w:val="auto"/>
          <w:spacing w:val="10"/>
          <w:kern w:val="0"/>
          <w:sz w:val="24"/>
          <w:szCs w:val="21"/>
          <w:highlight w:val="none"/>
        </w:rPr>
        <w:t>4.7</w:t>
      </w:r>
      <w:r>
        <w:rPr>
          <w:rFonts w:ascii="宋体" w:hAnsi="宋体"/>
          <w:color w:val="auto"/>
          <w:spacing w:val="10"/>
          <w:kern w:val="0"/>
          <w:sz w:val="24"/>
          <w:szCs w:val="21"/>
          <w:highlight w:val="none"/>
        </w:rPr>
        <w:t xml:space="preserve">.3 </w:t>
      </w:r>
      <w:r>
        <w:rPr>
          <w:rFonts w:hint="eastAsia" w:ascii="宋体" w:hAnsi="宋体"/>
          <w:color w:val="auto"/>
          <w:spacing w:val="10"/>
          <w:kern w:val="0"/>
          <w:sz w:val="24"/>
          <w:szCs w:val="21"/>
          <w:highlight w:val="none"/>
        </w:rPr>
        <w:t>评标委员会根据本招标文件</w:t>
      </w:r>
      <w:r>
        <w:rPr>
          <w:rFonts w:hint="eastAsia" w:ascii="宋体" w:hAnsi="宋体"/>
          <w:b/>
          <w:bCs/>
          <w:color w:val="auto"/>
          <w:spacing w:val="10"/>
          <w:kern w:val="0"/>
          <w:sz w:val="24"/>
          <w:szCs w:val="21"/>
          <w:highlight w:val="none"/>
        </w:rPr>
        <w:t>第六部分 评标原则及评标办法</w:t>
      </w:r>
      <w:r>
        <w:rPr>
          <w:rFonts w:hint="eastAsia" w:ascii="宋体" w:hAnsi="宋体"/>
          <w:color w:val="auto"/>
          <w:spacing w:val="10"/>
          <w:kern w:val="0"/>
          <w:sz w:val="24"/>
          <w:szCs w:val="21"/>
          <w:highlight w:val="none"/>
        </w:rPr>
        <w:t>对投标文件进行综合评审。</w:t>
      </w:r>
      <w:r>
        <w:rPr>
          <w:rFonts w:hint="eastAsia" w:ascii="宋体" w:hAnsi="宋体"/>
          <w:color w:val="auto"/>
          <w:sz w:val="24"/>
          <w:highlight w:val="none"/>
        </w:rPr>
        <w:t>评委评分之后，招标方按投标人的得分多少排列其名次，向采购人推荐前3名为预中标人，由采购人依法确定中标人。除非合同与招标文件有重大修改以外，中标人如不能按招标文件及中标通知书的要求与业主单位签订合同，中标资格将被取消，由其它预中标人递补，直至签订合同。</w:t>
      </w:r>
    </w:p>
    <w:p>
      <w:pPr>
        <w:spacing w:line="520" w:lineRule="exact"/>
        <w:ind w:right="-45" w:firstLine="480"/>
        <w:rPr>
          <w:rFonts w:hint="eastAsia" w:ascii="宋体" w:hAnsi="宋体"/>
          <w:b/>
          <w:bCs/>
          <w:color w:val="auto"/>
          <w:spacing w:val="8"/>
          <w:sz w:val="24"/>
          <w:highlight w:val="none"/>
        </w:rPr>
      </w:pPr>
      <w:r>
        <w:rPr>
          <w:rFonts w:hint="eastAsia" w:ascii="宋体" w:hAnsi="宋体"/>
          <w:b/>
          <w:bCs/>
          <w:color w:val="auto"/>
          <w:spacing w:val="8"/>
          <w:sz w:val="24"/>
          <w:highlight w:val="none"/>
        </w:rPr>
        <w:t>4.8 其它</w:t>
      </w:r>
    </w:p>
    <w:p>
      <w:pPr>
        <w:spacing w:line="520" w:lineRule="exact"/>
        <w:ind w:right="-45" w:firstLine="425"/>
        <w:rPr>
          <w:rFonts w:hint="eastAsia" w:ascii="宋体" w:hAnsi="宋体"/>
          <w:color w:val="auto"/>
          <w:spacing w:val="8"/>
          <w:sz w:val="24"/>
          <w:highlight w:val="none"/>
        </w:rPr>
      </w:pPr>
      <w:r>
        <w:rPr>
          <w:rFonts w:hint="eastAsia" w:ascii="宋体" w:hAnsi="宋体"/>
          <w:color w:val="auto"/>
          <w:spacing w:val="8"/>
          <w:sz w:val="24"/>
          <w:highlight w:val="none"/>
        </w:rPr>
        <w:t>4.8.1评标委员会无义务向投标人进行任何有关评标的解释。</w:t>
      </w:r>
    </w:p>
    <w:p>
      <w:pPr>
        <w:spacing w:line="520" w:lineRule="exact"/>
        <w:ind w:right="-45" w:firstLine="425"/>
        <w:rPr>
          <w:rFonts w:hint="eastAsia" w:ascii="宋体" w:hAnsi="宋体"/>
          <w:color w:val="auto"/>
          <w:spacing w:val="8"/>
          <w:sz w:val="24"/>
          <w:highlight w:val="none"/>
        </w:rPr>
      </w:pPr>
      <w:r>
        <w:rPr>
          <w:rFonts w:hint="eastAsia" w:ascii="宋体" w:hAnsi="宋体"/>
          <w:color w:val="auto"/>
          <w:spacing w:val="8"/>
          <w:sz w:val="24"/>
          <w:highlight w:val="none"/>
        </w:rPr>
        <w:t>4.8.2投标人在评标过程中，所进行的力图影响评标结果的不符合招标规定的活动，可能导致其被取消中标资格。</w:t>
      </w:r>
    </w:p>
    <w:p>
      <w:pPr>
        <w:spacing w:line="520" w:lineRule="exact"/>
        <w:ind w:right="-45" w:firstLine="425"/>
        <w:rPr>
          <w:rFonts w:hint="eastAsia" w:ascii="宋体" w:hAnsi="宋体"/>
          <w:color w:val="auto"/>
          <w:spacing w:val="8"/>
          <w:sz w:val="24"/>
          <w:highlight w:val="none"/>
        </w:rPr>
      </w:pPr>
      <w:r>
        <w:rPr>
          <w:rFonts w:hint="eastAsia" w:ascii="宋体" w:hAnsi="宋体"/>
          <w:color w:val="auto"/>
          <w:spacing w:val="8"/>
          <w:sz w:val="24"/>
          <w:highlight w:val="none"/>
        </w:rPr>
        <w:t>4.8.3采购人有权对中标候选人的产品交国家有关部门检验鉴定，不符合国家标准将取消中标资格。</w:t>
      </w:r>
    </w:p>
    <w:p>
      <w:pPr>
        <w:spacing w:line="520" w:lineRule="exact"/>
        <w:ind w:right="-45"/>
        <w:rPr>
          <w:rFonts w:hint="eastAsia" w:ascii="宋体" w:hAnsi="宋体"/>
          <w:b/>
          <w:color w:val="auto"/>
          <w:spacing w:val="8"/>
          <w:sz w:val="24"/>
          <w:highlight w:val="none"/>
        </w:rPr>
      </w:pPr>
      <w:r>
        <w:rPr>
          <w:rFonts w:hint="eastAsia" w:ascii="宋体" w:hAnsi="宋体"/>
          <w:b/>
          <w:color w:val="auto"/>
          <w:spacing w:val="8"/>
          <w:sz w:val="24"/>
          <w:highlight w:val="none"/>
        </w:rPr>
        <w:t>五、中标通知</w:t>
      </w:r>
    </w:p>
    <w:p>
      <w:pPr>
        <w:autoSpaceDE w:val="0"/>
        <w:autoSpaceDN w:val="0"/>
        <w:adjustRightInd w:val="0"/>
        <w:spacing w:line="520" w:lineRule="exact"/>
        <w:ind w:firstLine="520" w:firstLineChars="200"/>
        <w:jc w:val="left"/>
        <w:rPr>
          <w:rFonts w:hint="eastAsia" w:ascii="宋体" w:hAnsi="宋体"/>
          <w:color w:val="auto"/>
          <w:spacing w:val="10"/>
          <w:kern w:val="0"/>
          <w:sz w:val="24"/>
          <w:szCs w:val="21"/>
          <w:highlight w:val="none"/>
        </w:rPr>
      </w:pPr>
      <w:r>
        <w:rPr>
          <w:rFonts w:hint="eastAsia" w:ascii="宋体" w:hAnsi="宋体"/>
          <w:color w:val="auto"/>
          <w:spacing w:val="10"/>
          <w:kern w:val="0"/>
          <w:sz w:val="24"/>
          <w:szCs w:val="21"/>
          <w:highlight w:val="none"/>
        </w:rPr>
        <w:t>5.1招标代理单位根据评标委员会的评标结果在开标后7天内向中标单位发出中标通知书。中标通知书一经发出即发生法律效力。</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5.2在向中标单位发出中标通知书的同时,向未中标单位退还投标保证金。不解释未中标原因，不退还投标文件。</w:t>
      </w:r>
    </w:p>
    <w:p>
      <w:pPr>
        <w:spacing w:line="520" w:lineRule="exact"/>
        <w:ind w:right="-45"/>
        <w:rPr>
          <w:rFonts w:hint="eastAsia" w:ascii="宋体" w:hAnsi="宋体"/>
          <w:b/>
          <w:color w:val="auto"/>
          <w:spacing w:val="8"/>
          <w:sz w:val="24"/>
          <w:highlight w:val="none"/>
        </w:rPr>
      </w:pPr>
      <w:r>
        <w:rPr>
          <w:rFonts w:hint="eastAsia" w:ascii="宋体" w:hAnsi="宋体"/>
          <w:b/>
          <w:color w:val="auto"/>
          <w:spacing w:val="8"/>
          <w:sz w:val="24"/>
          <w:highlight w:val="none"/>
        </w:rPr>
        <w:t>六、保密</w:t>
      </w:r>
    </w:p>
    <w:p>
      <w:pPr>
        <w:autoSpaceDE w:val="0"/>
        <w:autoSpaceDN w:val="0"/>
        <w:adjustRightInd w:val="0"/>
        <w:spacing w:line="520" w:lineRule="exact"/>
        <w:ind w:firstLine="520" w:firstLineChars="200"/>
        <w:jc w:val="left"/>
        <w:rPr>
          <w:rFonts w:hint="eastAsia" w:ascii="宋体" w:hAnsi="宋体"/>
          <w:color w:val="auto"/>
          <w:spacing w:val="10"/>
          <w:kern w:val="0"/>
          <w:sz w:val="24"/>
          <w:szCs w:val="21"/>
          <w:highlight w:val="none"/>
        </w:rPr>
      </w:pPr>
      <w:r>
        <w:rPr>
          <w:rFonts w:hint="eastAsia" w:ascii="宋体" w:hAnsi="宋体"/>
          <w:color w:val="auto"/>
          <w:spacing w:val="10"/>
          <w:kern w:val="0"/>
          <w:sz w:val="24"/>
          <w:szCs w:val="21"/>
          <w:highlight w:val="none"/>
        </w:rPr>
        <w:t>6.1</w:t>
      </w:r>
      <w:r>
        <w:rPr>
          <w:rFonts w:ascii="宋体" w:hAnsi="宋体"/>
          <w:color w:val="auto"/>
          <w:spacing w:val="10"/>
          <w:kern w:val="0"/>
          <w:sz w:val="24"/>
          <w:szCs w:val="21"/>
          <w:highlight w:val="none"/>
        </w:rPr>
        <w:t xml:space="preserve"> </w:t>
      </w:r>
      <w:r>
        <w:rPr>
          <w:rFonts w:hint="eastAsia" w:ascii="宋体" w:hAnsi="宋体"/>
          <w:color w:val="auto"/>
          <w:spacing w:val="10"/>
          <w:kern w:val="0"/>
          <w:sz w:val="24"/>
          <w:szCs w:val="21"/>
          <w:highlight w:val="none"/>
        </w:rPr>
        <w:t>开标后直至授予中标人合同为止，凡属于对投标文件的审查、澄清、评价和比较有关的资料及中标候选人的推荐情况，与评标有关的其他任何情况均严格保密。</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6.2</w:t>
      </w:r>
      <w:r>
        <w:rPr>
          <w:rFonts w:ascii="宋体" w:hAnsi="宋体"/>
          <w:color w:val="auto"/>
          <w:spacing w:val="10"/>
          <w:kern w:val="0"/>
          <w:sz w:val="24"/>
          <w:szCs w:val="21"/>
          <w:highlight w:val="none"/>
        </w:rPr>
        <w:t xml:space="preserve"> </w:t>
      </w:r>
      <w:r>
        <w:rPr>
          <w:rFonts w:hint="eastAsia" w:ascii="宋体" w:hAnsi="宋体"/>
          <w:color w:val="auto"/>
          <w:spacing w:val="10"/>
          <w:kern w:val="0"/>
          <w:sz w:val="24"/>
          <w:szCs w:val="21"/>
          <w:highlight w:val="none"/>
        </w:rPr>
        <w:t>在投标文件的评审和比较、中标候选人推荐以及授予合同的过程中，投标人向采购人和评标委员会施加影响的任何行为，都将会导致其投标被拒绝。</w:t>
      </w:r>
    </w:p>
    <w:p>
      <w:pPr>
        <w:autoSpaceDE w:val="0"/>
        <w:autoSpaceDN w:val="0"/>
        <w:adjustRightInd w:val="0"/>
        <w:spacing w:line="520" w:lineRule="exact"/>
        <w:ind w:firstLine="520" w:firstLineChars="200"/>
        <w:jc w:val="left"/>
        <w:rPr>
          <w:rFonts w:ascii="宋体" w:hAnsi="宋体"/>
          <w:color w:val="auto"/>
          <w:spacing w:val="10"/>
          <w:kern w:val="0"/>
          <w:sz w:val="24"/>
          <w:szCs w:val="21"/>
          <w:highlight w:val="none"/>
        </w:rPr>
      </w:pPr>
      <w:r>
        <w:rPr>
          <w:rFonts w:hint="eastAsia" w:ascii="宋体" w:hAnsi="宋体"/>
          <w:color w:val="auto"/>
          <w:spacing w:val="10"/>
          <w:kern w:val="0"/>
          <w:sz w:val="24"/>
          <w:szCs w:val="21"/>
          <w:highlight w:val="none"/>
        </w:rPr>
        <w:t>6.3</w:t>
      </w:r>
      <w:r>
        <w:rPr>
          <w:rFonts w:ascii="宋体" w:hAnsi="宋体"/>
          <w:color w:val="auto"/>
          <w:spacing w:val="10"/>
          <w:kern w:val="0"/>
          <w:sz w:val="24"/>
          <w:szCs w:val="21"/>
          <w:highlight w:val="none"/>
        </w:rPr>
        <w:t xml:space="preserve"> </w:t>
      </w:r>
      <w:r>
        <w:rPr>
          <w:rFonts w:hint="eastAsia" w:ascii="宋体" w:hAnsi="宋体"/>
          <w:color w:val="auto"/>
          <w:spacing w:val="10"/>
          <w:kern w:val="0"/>
          <w:sz w:val="24"/>
          <w:szCs w:val="21"/>
          <w:highlight w:val="none"/>
        </w:rPr>
        <w:t>中标人确定后，采购人不对未中标人就评标过程以及未能中标原因做出任何解释。未中标人不得向评标委员会组成人员或其他有关人员索问评标过程的情况和材料。</w:t>
      </w:r>
    </w:p>
    <w:p>
      <w:pPr>
        <w:spacing w:line="520" w:lineRule="exact"/>
        <w:ind w:right="-45"/>
        <w:rPr>
          <w:rFonts w:ascii="宋体" w:hAnsi="宋体"/>
          <w:b/>
          <w:color w:val="auto"/>
          <w:spacing w:val="8"/>
          <w:sz w:val="24"/>
          <w:highlight w:val="none"/>
        </w:rPr>
      </w:pPr>
      <w:r>
        <w:rPr>
          <w:rFonts w:hint="eastAsia" w:ascii="宋体" w:hAnsi="宋体"/>
          <w:b/>
          <w:color w:val="auto"/>
          <w:spacing w:val="8"/>
          <w:sz w:val="24"/>
          <w:highlight w:val="none"/>
        </w:rPr>
        <w:t>七、 签订合同</w:t>
      </w:r>
    </w:p>
    <w:p>
      <w:pPr>
        <w:autoSpaceDE w:val="0"/>
        <w:autoSpaceDN w:val="0"/>
        <w:adjustRightInd w:val="0"/>
        <w:spacing w:line="520" w:lineRule="exact"/>
        <w:ind w:firstLine="520" w:firstLineChars="200"/>
        <w:jc w:val="left"/>
        <w:rPr>
          <w:rFonts w:hint="eastAsia" w:ascii="宋体" w:hAnsi="宋体"/>
          <w:color w:val="auto"/>
          <w:spacing w:val="10"/>
          <w:kern w:val="0"/>
          <w:sz w:val="24"/>
          <w:szCs w:val="21"/>
          <w:highlight w:val="none"/>
        </w:rPr>
      </w:pPr>
      <w:r>
        <w:rPr>
          <w:rFonts w:hint="eastAsia" w:ascii="宋体" w:hAnsi="宋体"/>
          <w:color w:val="auto"/>
          <w:spacing w:val="10"/>
          <w:kern w:val="0"/>
          <w:sz w:val="24"/>
          <w:szCs w:val="21"/>
          <w:highlight w:val="none"/>
        </w:rPr>
        <w:t>7.1签订合同</w:t>
      </w:r>
    </w:p>
    <w:p>
      <w:pPr>
        <w:autoSpaceDE w:val="0"/>
        <w:autoSpaceDN w:val="0"/>
        <w:adjustRightInd w:val="0"/>
        <w:spacing w:line="520" w:lineRule="exact"/>
        <w:ind w:firstLine="520" w:firstLineChars="200"/>
        <w:jc w:val="left"/>
        <w:rPr>
          <w:rFonts w:hint="eastAsia" w:ascii="宋体" w:hAnsi="宋体"/>
          <w:color w:val="auto"/>
          <w:spacing w:val="10"/>
          <w:kern w:val="0"/>
          <w:sz w:val="24"/>
          <w:szCs w:val="21"/>
          <w:highlight w:val="none"/>
        </w:rPr>
      </w:pPr>
      <w:r>
        <w:rPr>
          <w:rFonts w:hint="eastAsia" w:ascii="宋体" w:hAnsi="宋体"/>
          <w:color w:val="auto"/>
          <w:spacing w:val="10"/>
          <w:kern w:val="0"/>
          <w:sz w:val="24"/>
          <w:szCs w:val="21"/>
          <w:highlight w:val="none"/>
        </w:rPr>
        <w:t>中标单位收到中标通知书后，应按中标通知书中规定的时间地点与采购人签订合同</w:t>
      </w:r>
      <w:r>
        <w:rPr>
          <w:rFonts w:hint="eastAsia" w:ascii="宋体" w:hAnsi="宋体"/>
          <w:color w:val="auto"/>
          <w:spacing w:val="10"/>
          <w:kern w:val="0"/>
          <w:sz w:val="24"/>
          <w:szCs w:val="21"/>
          <w:highlight w:val="none"/>
          <w:lang w:eastAsia="zh-CN"/>
        </w:rPr>
        <w:t>（网签）</w:t>
      </w:r>
      <w:r>
        <w:rPr>
          <w:rFonts w:hint="eastAsia" w:ascii="宋体" w:hAnsi="宋体"/>
          <w:color w:val="auto"/>
          <w:spacing w:val="10"/>
          <w:kern w:val="0"/>
          <w:sz w:val="24"/>
          <w:szCs w:val="21"/>
          <w:highlight w:val="none"/>
        </w:rPr>
        <w:t>。</w:t>
      </w:r>
    </w:p>
    <w:p>
      <w:pPr>
        <w:autoSpaceDE w:val="0"/>
        <w:autoSpaceDN w:val="0"/>
        <w:adjustRightInd w:val="0"/>
        <w:spacing w:line="520" w:lineRule="exact"/>
        <w:ind w:firstLine="520" w:firstLineChars="200"/>
        <w:jc w:val="left"/>
        <w:rPr>
          <w:rFonts w:hint="eastAsia" w:ascii="宋体" w:hAnsi="宋体"/>
          <w:color w:val="auto"/>
          <w:spacing w:val="10"/>
          <w:kern w:val="0"/>
          <w:sz w:val="24"/>
          <w:szCs w:val="21"/>
          <w:highlight w:val="none"/>
        </w:rPr>
      </w:pPr>
      <w:r>
        <w:rPr>
          <w:rFonts w:hint="eastAsia" w:ascii="宋体" w:hAnsi="宋体"/>
          <w:color w:val="auto"/>
          <w:spacing w:val="10"/>
          <w:kern w:val="0"/>
          <w:sz w:val="24"/>
          <w:szCs w:val="21"/>
          <w:highlight w:val="none"/>
        </w:rPr>
        <w:t>7.2拒签合同</w:t>
      </w:r>
    </w:p>
    <w:p>
      <w:pPr>
        <w:autoSpaceDE w:val="0"/>
        <w:autoSpaceDN w:val="0"/>
        <w:adjustRightInd w:val="0"/>
        <w:spacing w:line="520" w:lineRule="exact"/>
        <w:ind w:firstLine="520" w:firstLineChars="200"/>
        <w:jc w:val="left"/>
        <w:rPr>
          <w:rFonts w:hint="eastAsia" w:ascii="宋体" w:hAnsi="宋体"/>
          <w:color w:val="auto"/>
          <w:spacing w:val="10"/>
          <w:kern w:val="0"/>
          <w:sz w:val="24"/>
          <w:szCs w:val="21"/>
          <w:highlight w:val="none"/>
        </w:rPr>
      </w:pPr>
      <w:r>
        <w:rPr>
          <w:rFonts w:hint="eastAsia" w:ascii="宋体" w:hAnsi="宋体"/>
          <w:color w:val="auto"/>
          <w:spacing w:val="10"/>
          <w:kern w:val="0"/>
          <w:sz w:val="24"/>
          <w:szCs w:val="21"/>
          <w:highlight w:val="none"/>
        </w:rPr>
        <w:t>除非合同与招标文件有重大背离以外，如中标单位拒签合同，则按违约处理。</w:t>
      </w:r>
    </w:p>
    <w:p>
      <w:pPr>
        <w:widowControl/>
        <w:spacing w:before="100" w:beforeAutospacing="1" w:after="100" w:afterAutospacing="1" w:line="520" w:lineRule="exact"/>
        <w:ind w:firstLine="520" w:firstLineChars="200"/>
        <w:jc w:val="center"/>
        <w:outlineLvl w:val="0"/>
        <w:rPr>
          <w:rFonts w:hint="eastAsia" w:ascii="宋体" w:hAnsi="宋体"/>
          <w:b/>
          <w:snapToGrid w:val="0"/>
          <w:color w:val="auto"/>
          <w:spacing w:val="8"/>
          <w:kern w:val="0"/>
          <w:sz w:val="28"/>
          <w:highlight w:val="none"/>
        </w:rPr>
      </w:pPr>
      <w:r>
        <w:rPr>
          <w:rFonts w:ascii="宋体" w:hAnsi="宋体"/>
          <w:color w:val="auto"/>
          <w:spacing w:val="10"/>
          <w:kern w:val="0"/>
          <w:sz w:val="24"/>
          <w:szCs w:val="21"/>
          <w:highlight w:val="none"/>
        </w:rPr>
        <w:br w:type="page"/>
      </w:r>
      <w:bookmarkStart w:id="11" w:name="_Toc17080"/>
      <w:r>
        <w:rPr>
          <w:rStyle w:val="65"/>
          <w:rFonts w:hint="eastAsia"/>
          <w:color w:val="auto"/>
          <w:highlight w:val="none"/>
        </w:rPr>
        <w:t>第三部分</w:t>
      </w:r>
      <w:r>
        <w:rPr>
          <w:rStyle w:val="65"/>
          <w:color w:val="auto"/>
          <w:highlight w:val="none"/>
        </w:rPr>
        <w:t xml:space="preserve">  </w:t>
      </w:r>
      <w:r>
        <w:rPr>
          <w:rStyle w:val="65"/>
          <w:rFonts w:hint="eastAsia"/>
          <w:color w:val="auto"/>
          <w:highlight w:val="none"/>
        </w:rPr>
        <w:t>投标文件格式</w:t>
      </w:r>
      <w:bookmarkEnd w:id="11"/>
    </w:p>
    <w:p>
      <w:pPr>
        <w:adjustRightInd w:val="0"/>
        <w:snapToGrid w:val="0"/>
        <w:spacing w:line="520" w:lineRule="exact"/>
        <w:jc w:val="center"/>
        <w:rPr>
          <w:rFonts w:hint="eastAsia" w:ascii="宋体" w:hAnsi="宋体"/>
          <w:snapToGrid w:val="0"/>
          <w:color w:val="auto"/>
          <w:spacing w:val="12"/>
          <w:kern w:val="0"/>
          <w:sz w:val="24"/>
          <w:highlight w:val="none"/>
        </w:rPr>
      </w:pPr>
      <w:r>
        <w:rPr>
          <w:rFonts w:hint="eastAsia" w:ascii="宋体" w:hAnsi="宋体"/>
          <w:color w:val="auto"/>
          <w:spacing w:val="8"/>
          <w:sz w:val="24"/>
          <w:highlight w:val="none"/>
        </w:rPr>
        <w:t>投标文件封面或扉页</w:t>
      </w:r>
    </w:p>
    <w:p>
      <w:pPr>
        <w:snapToGrid w:val="0"/>
        <w:spacing w:line="540" w:lineRule="exact"/>
        <w:jc w:val="right"/>
        <w:rPr>
          <w:rFonts w:hint="default" w:ascii="宋体" w:hAnsi="宋体" w:eastAsia="宋体"/>
          <w:b/>
          <w:color w:val="auto"/>
          <w:spacing w:val="8"/>
          <w:sz w:val="30"/>
          <w:highlight w:val="none"/>
          <w:lang w:val="en-US" w:eastAsia="zh-CN"/>
        </w:rPr>
      </w:pPr>
      <w:r>
        <w:rPr>
          <w:rFonts w:hint="eastAsia" w:ascii="宋体" w:hAnsi="宋体"/>
          <w:color w:val="auto"/>
          <w:spacing w:val="8"/>
          <w:sz w:val="24"/>
          <w:highlight w:val="none"/>
        </w:rPr>
        <w:t xml:space="preserve">   </w:t>
      </w:r>
      <w:r>
        <w:rPr>
          <w:rFonts w:hint="eastAsia" w:ascii="宋体" w:hAnsi="宋体"/>
          <w:color w:val="auto"/>
          <w:spacing w:val="8"/>
          <w:sz w:val="24"/>
          <w:highlight w:val="none"/>
          <w:lang w:val="en-US" w:eastAsia="zh-CN"/>
        </w:rPr>
        <w:t>电子文件</w:t>
      </w:r>
    </w:p>
    <w:p>
      <w:pPr>
        <w:adjustRightInd w:val="0"/>
        <w:snapToGrid w:val="0"/>
        <w:spacing w:line="520" w:lineRule="exact"/>
        <w:jc w:val="center"/>
        <w:rPr>
          <w:rFonts w:hint="eastAsia" w:ascii="宋体" w:hAnsi="宋体"/>
          <w:b/>
          <w:snapToGrid w:val="0"/>
          <w:color w:val="auto"/>
          <w:spacing w:val="12"/>
          <w:kern w:val="0"/>
          <w:sz w:val="36"/>
          <w:highlight w:val="none"/>
        </w:rPr>
      </w:pPr>
    </w:p>
    <w:p>
      <w:pPr>
        <w:adjustRightInd w:val="0"/>
        <w:snapToGrid w:val="0"/>
        <w:spacing w:line="520" w:lineRule="exact"/>
        <w:jc w:val="center"/>
        <w:rPr>
          <w:rFonts w:hint="eastAsia" w:ascii="宋体" w:hAnsi="宋体"/>
          <w:b/>
          <w:snapToGrid w:val="0"/>
          <w:color w:val="auto"/>
          <w:spacing w:val="12"/>
          <w:kern w:val="0"/>
          <w:sz w:val="36"/>
          <w:highlight w:val="none"/>
        </w:rPr>
      </w:pPr>
    </w:p>
    <w:p>
      <w:pPr>
        <w:spacing w:line="360" w:lineRule="auto"/>
        <w:jc w:val="center"/>
        <w:rPr>
          <w:rFonts w:hint="eastAsia" w:ascii="宋体" w:hAnsi="宋体"/>
          <w:b/>
          <w:color w:val="auto"/>
          <w:sz w:val="52"/>
          <w:szCs w:val="52"/>
          <w:highlight w:val="none"/>
        </w:rPr>
      </w:pPr>
      <w:r>
        <w:rPr>
          <w:rFonts w:hint="eastAsia" w:ascii="宋体" w:hAnsi="宋体"/>
          <w:b/>
          <w:color w:val="auto"/>
          <w:sz w:val="52"/>
          <w:szCs w:val="52"/>
          <w:highlight w:val="none"/>
          <w:u w:val="single"/>
        </w:rPr>
        <w:t xml:space="preserve">                   </w:t>
      </w:r>
      <w:r>
        <w:rPr>
          <w:rFonts w:hint="eastAsia" w:ascii="宋体" w:hAnsi="宋体"/>
          <w:b/>
          <w:color w:val="auto"/>
          <w:sz w:val="52"/>
          <w:szCs w:val="52"/>
          <w:highlight w:val="none"/>
        </w:rPr>
        <w:t>项目</w:t>
      </w:r>
    </w:p>
    <w:p>
      <w:pPr>
        <w:adjustRightInd w:val="0"/>
        <w:snapToGrid w:val="0"/>
        <w:jc w:val="center"/>
        <w:rPr>
          <w:rFonts w:hint="eastAsia" w:ascii="宋体" w:hAnsi="宋体"/>
          <w:b/>
          <w:color w:val="auto"/>
          <w:sz w:val="48"/>
          <w:szCs w:val="48"/>
          <w:highlight w:val="none"/>
        </w:rPr>
      </w:pPr>
    </w:p>
    <w:p>
      <w:pPr>
        <w:adjustRightInd w:val="0"/>
        <w:snapToGrid w:val="0"/>
        <w:jc w:val="center"/>
        <w:rPr>
          <w:rFonts w:hint="eastAsia" w:ascii="宋体" w:hAnsi="宋体"/>
          <w:b/>
          <w:bCs/>
          <w:color w:val="auto"/>
          <w:spacing w:val="8"/>
          <w:sz w:val="52"/>
          <w:szCs w:val="52"/>
          <w:highlight w:val="none"/>
        </w:rPr>
      </w:pPr>
    </w:p>
    <w:p>
      <w:pPr>
        <w:adjustRightInd w:val="0"/>
        <w:snapToGrid w:val="0"/>
        <w:jc w:val="center"/>
        <w:rPr>
          <w:rFonts w:hint="eastAsia" w:ascii="宋体" w:hAnsi="宋体"/>
          <w:b/>
          <w:bCs/>
          <w:color w:val="auto"/>
          <w:spacing w:val="8"/>
          <w:sz w:val="52"/>
          <w:szCs w:val="52"/>
          <w:highlight w:val="none"/>
        </w:rPr>
      </w:pPr>
      <w:r>
        <w:rPr>
          <w:rFonts w:hint="eastAsia" w:ascii="宋体" w:hAnsi="宋体"/>
          <w:b/>
          <w:bCs/>
          <w:color w:val="auto"/>
          <w:spacing w:val="8"/>
          <w:sz w:val="52"/>
          <w:szCs w:val="52"/>
          <w:highlight w:val="none"/>
        </w:rPr>
        <w:t>投 标 文 件</w:t>
      </w:r>
    </w:p>
    <w:p>
      <w:pPr>
        <w:adjustRightInd w:val="0"/>
        <w:snapToGrid w:val="0"/>
        <w:jc w:val="center"/>
        <w:rPr>
          <w:rFonts w:hint="eastAsia" w:ascii="宋体" w:hAnsi="宋体"/>
          <w:b/>
          <w:bCs/>
          <w:color w:val="auto"/>
          <w:spacing w:val="8"/>
          <w:sz w:val="52"/>
          <w:szCs w:val="52"/>
          <w:highlight w:val="none"/>
        </w:rPr>
      </w:pPr>
    </w:p>
    <w:p>
      <w:pPr>
        <w:adjustRightInd w:val="0"/>
        <w:snapToGrid w:val="0"/>
        <w:spacing w:line="480" w:lineRule="exact"/>
        <w:jc w:val="center"/>
        <w:rPr>
          <w:rFonts w:hint="default" w:ascii="宋体" w:hAnsi="宋体" w:eastAsia="宋体"/>
          <w:b/>
          <w:color w:val="auto"/>
          <w:spacing w:val="8"/>
          <w:sz w:val="30"/>
          <w:szCs w:val="30"/>
          <w:highlight w:val="none"/>
          <w:u w:val="single"/>
          <w:lang w:val="en-US" w:eastAsia="zh-CN"/>
        </w:rPr>
      </w:pPr>
      <w:r>
        <w:rPr>
          <w:rFonts w:hint="eastAsia" w:ascii="宋体" w:hAnsi="宋体"/>
          <w:b/>
          <w:color w:val="auto"/>
          <w:spacing w:val="8"/>
          <w:sz w:val="30"/>
          <w:szCs w:val="30"/>
          <w:highlight w:val="none"/>
        </w:rPr>
        <w:t>招标文件编号：</w:t>
      </w:r>
    </w:p>
    <w:p>
      <w:pPr>
        <w:adjustRightInd w:val="0"/>
        <w:snapToGrid w:val="0"/>
        <w:spacing w:line="480" w:lineRule="exact"/>
        <w:rPr>
          <w:rFonts w:hint="eastAsia" w:ascii="宋体" w:hAnsi="宋体"/>
          <w:b/>
          <w:color w:val="auto"/>
          <w:spacing w:val="8"/>
          <w:sz w:val="24"/>
          <w:highlight w:val="none"/>
        </w:rPr>
      </w:pPr>
    </w:p>
    <w:p>
      <w:pPr>
        <w:adjustRightInd w:val="0"/>
        <w:snapToGrid w:val="0"/>
        <w:spacing w:line="480" w:lineRule="exact"/>
        <w:rPr>
          <w:rFonts w:hint="eastAsia" w:ascii="宋体" w:hAnsi="宋体"/>
          <w:b/>
          <w:color w:val="auto"/>
          <w:spacing w:val="8"/>
          <w:sz w:val="24"/>
          <w:highlight w:val="none"/>
        </w:rPr>
      </w:pPr>
    </w:p>
    <w:p>
      <w:pPr>
        <w:adjustRightInd w:val="0"/>
        <w:snapToGrid w:val="0"/>
        <w:spacing w:line="480" w:lineRule="exact"/>
        <w:rPr>
          <w:rFonts w:hint="eastAsia" w:ascii="宋体" w:hAnsi="宋体"/>
          <w:b/>
          <w:color w:val="auto"/>
          <w:spacing w:val="8"/>
          <w:sz w:val="24"/>
          <w:highlight w:val="none"/>
        </w:rPr>
      </w:pPr>
    </w:p>
    <w:p>
      <w:pPr>
        <w:adjustRightInd w:val="0"/>
        <w:snapToGrid w:val="0"/>
        <w:spacing w:line="480" w:lineRule="exact"/>
        <w:rPr>
          <w:rFonts w:hint="eastAsia" w:ascii="宋体" w:hAnsi="宋体"/>
          <w:b/>
          <w:color w:val="auto"/>
          <w:spacing w:val="8"/>
          <w:sz w:val="24"/>
          <w:highlight w:val="none"/>
        </w:rPr>
      </w:pPr>
    </w:p>
    <w:p>
      <w:pPr>
        <w:adjustRightInd w:val="0"/>
        <w:snapToGrid w:val="0"/>
        <w:spacing w:line="480" w:lineRule="exact"/>
        <w:rPr>
          <w:rFonts w:hint="eastAsia" w:ascii="宋体" w:hAnsi="宋体"/>
          <w:b/>
          <w:color w:val="auto"/>
          <w:spacing w:val="8"/>
          <w:sz w:val="24"/>
          <w:highlight w:val="none"/>
        </w:rPr>
      </w:pPr>
    </w:p>
    <w:p>
      <w:pPr>
        <w:adjustRightInd w:val="0"/>
        <w:snapToGrid w:val="0"/>
        <w:spacing w:line="480" w:lineRule="exact"/>
        <w:rPr>
          <w:rFonts w:hint="eastAsia" w:ascii="宋体" w:hAnsi="宋体"/>
          <w:b/>
          <w:color w:val="auto"/>
          <w:spacing w:val="8"/>
          <w:sz w:val="24"/>
          <w:highlight w:val="none"/>
        </w:rPr>
      </w:pPr>
    </w:p>
    <w:p>
      <w:pPr>
        <w:adjustRightInd w:val="0"/>
        <w:snapToGrid w:val="0"/>
        <w:spacing w:line="480" w:lineRule="exact"/>
        <w:rPr>
          <w:rFonts w:hint="eastAsia" w:ascii="宋体" w:hAnsi="宋体"/>
          <w:b/>
          <w:color w:val="auto"/>
          <w:spacing w:val="8"/>
          <w:sz w:val="24"/>
          <w:highlight w:val="none"/>
        </w:rPr>
      </w:pPr>
      <w:r>
        <w:rPr>
          <w:rFonts w:hint="eastAsia" w:ascii="宋体" w:hAnsi="宋体"/>
          <w:b/>
          <w:color w:val="auto"/>
          <w:spacing w:val="8"/>
          <w:sz w:val="24"/>
          <w:highlight w:val="none"/>
        </w:rPr>
        <w:t xml:space="preserve">        </w:t>
      </w:r>
    </w:p>
    <w:p>
      <w:pPr>
        <w:adjustRightInd w:val="0"/>
        <w:snapToGrid w:val="0"/>
        <w:spacing w:line="480" w:lineRule="exact"/>
        <w:rPr>
          <w:rFonts w:hint="eastAsia" w:ascii="宋体" w:hAnsi="宋体"/>
          <w:b/>
          <w:color w:val="auto"/>
          <w:spacing w:val="8"/>
          <w:sz w:val="24"/>
          <w:highlight w:val="none"/>
        </w:rPr>
      </w:pPr>
    </w:p>
    <w:p>
      <w:pPr>
        <w:adjustRightInd w:val="0"/>
        <w:snapToGrid w:val="0"/>
        <w:spacing w:line="480" w:lineRule="exact"/>
        <w:ind w:firstLine="1263" w:firstLineChars="425"/>
        <w:rPr>
          <w:rFonts w:hint="eastAsia" w:ascii="宋体" w:hAnsi="宋体"/>
          <w:b/>
          <w:color w:val="auto"/>
          <w:spacing w:val="8"/>
          <w:sz w:val="28"/>
          <w:highlight w:val="none"/>
        </w:rPr>
      </w:pPr>
      <w:r>
        <w:rPr>
          <w:rFonts w:hint="eastAsia" w:ascii="宋体" w:hAnsi="宋体"/>
          <w:b/>
          <w:color w:val="auto"/>
          <w:spacing w:val="8"/>
          <w:sz w:val="28"/>
          <w:highlight w:val="none"/>
        </w:rPr>
        <w:t>投标</w:t>
      </w:r>
      <w:r>
        <w:rPr>
          <w:rFonts w:hint="eastAsia" w:ascii="宋体" w:hAnsi="宋体"/>
          <w:b/>
          <w:color w:val="auto"/>
          <w:spacing w:val="8"/>
          <w:sz w:val="28"/>
          <w:highlight w:val="none"/>
          <w:lang w:eastAsia="zh-CN"/>
        </w:rPr>
        <w:t>人</w:t>
      </w:r>
      <w:r>
        <w:rPr>
          <w:rFonts w:hint="eastAsia" w:ascii="宋体" w:hAnsi="宋体"/>
          <w:b/>
          <w:color w:val="auto"/>
          <w:spacing w:val="8"/>
          <w:sz w:val="28"/>
          <w:highlight w:val="none"/>
        </w:rPr>
        <w:t xml:space="preserve">：（打印单位名称并加盖公章） </w:t>
      </w:r>
    </w:p>
    <w:p>
      <w:pPr>
        <w:adjustRightInd w:val="0"/>
        <w:snapToGrid w:val="0"/>
        <w:spacing w:line="480" w:lineRule="exact"/>
        <w:ind w:firstLine="1263" w:firstLineChars="425"/>
        <w:rPr>
          <w:rFonts w:hint="eastAsia" w:ascii="宋体" w:hAnsi="宋体"/>
          <w:b/>
          <w:color w:val="auto"/>
          <w:spacing w:val="8"/>
          <w:sz w:val="28"/>
          <w:highlight w:val="none"/>
        </w:rPr>
      </w:pPr>
      <w:r>
        <w:rPr>
          <w:rFonts w:hint="eastAsia" w:ascii="宋体" w:hAnsi="宋体"/>
          <w:b/>
          <w:color w:val="auto"/>
          <w:spacing w:val="8"/>
          <w:sz w:val="28"/>
          <w:highlight w:val="none"/>
        </w:rPr>
        <w:t>法定代表人</w:t>
      </w:r>
      <w:r>
        <w:rPr>
          <w:rFonts w:hint="eastAsia" w:ascii="宋体" w:hAnsi="宋体"/>
          <w:b/>
          <w:color w:val="auto"/>
          <w:spacing w:val="8"/>
          <w:sz w:val="28"/>
          <w:highlight w:val="none"/>
          <w:lang w:eastAsia="zh-CN"/>
        </w:rPr>
        <w:t>或其委托代理人</w:t>
      </w:r>
      <w:r>
        <w:rPr>
          <w:rFonts w:hint="eastAsia" w:ascii="宋体" w:hAnsi="宋体"/>
          <w:b/>
          <w:color w:val="auto"/>
          <w:spacing w:val="8"/>
          <w:sz w:val="28"/>
          <w:highlight w:val="none"/>
        </w:rPr>
        <w:t>：（签字或盖章）</w:t>
      </w:r>
    </w:p>
    <w:p>
      <w:pPr>
        <w:adjustRightInd w:val="0"/>
        <w:snapToGrid w:val="0"/>
        <w:spacing w:line="480" w:lineRule="exact"/>
        <w:rPr>
          <w:rFonts w:hint="eastAsia" w:ascii="宋体" w:hAnsi="宋体"/>
          <w:b/>
          <w:color w:val="auto"/>
          <w:spacing w:val="8"/>
          <w:sz w:val="24"/>
          <w:highlight w:val="none"/>
        </w:rPr>
      </w:pPr>
    </w:p>
    <w:p>
      <w:pPr>
        <w:adjustRightInd w:val="0"/>
        <w:snapToGrid w:val="0"/>
        <w:spacing w:line="520" w:lineRule="exact"/>
        <w:jc w:val="center"/>
        <w:rPr>
          <w:rFonts w:hint="eastAsia" w:ascii="宋体" w:hAnsi="宋体"/>
          <w:color w:val="auto"/>
          <w:spacing w:val="8"/>
          <w:sz w:val="28"/>
          <w:highlight w:val="none"/>
        </w:rPr>
      </w:pPr>
      <w:r>
        <w:rPr>
          <w:rFonts w:hint="eastAsia" w:ascii="宋体" w:hAnsi="宋体"/>
          <w:b/>
          <w:bCs/>
          <w:color w:val="auto"/>
          <w:spacing w:val="8"/>
          <w:sz w:val="28"/>
          <w:highlight w:val="none"/>
        </w:rPr>
        <w:t>日期：</w:t>
      </w:r>
      <w:r>
        <w:rPr>
          <w:rFonts w:hint="eastAsia" w:ascii="宋体" w:hAnsi="宋体"/>
          <w:b/>
          <w:bCs/>
          <w:color w:val="auto"/>
          <w:spacing w:val="8"/>
          <w:sz w:val="28"/>
          <w:highlight w:val="none"/>
          <w:u w:val="single"/>
        </w:rPr>
        <w:t xml:space="preserve">     </w:t>
      </w:r>
      <w:r>
        <w:rPr>
          <w:rFonts w:hint="eastAsia" w:ascii="宋体" w:hAnsi="宋体"/>
          <w:b/>
          <w:bCs/>
          <w:color w:val="auto"/>
          <w:spacing w:val="8"/>
          <w:sz w:val="28"/>
          <w:highlight w:val="none"/>
        </w:rPr>
        <w:t>年</w:t>
      </w:r>
      <w:r>
        <w:rPr>
          <w:rFonts w:hint="eastAsia" w:ascii="宋体" w:hAnsi="宋体"/>
          <w:b/>
          <w:bCs/>
          <w:color w:val="auto"/>
          <w:spacing w:val="8"/>
          <w:sz w:val="28"/>
          <w:highlight w:val="none"/>
          <w:u w:val="single"/>
        </w:rPr>
        <w:t xml:space="preserve">   </w:t>
      </w:r>
      <w:r>
        <w:rPr>
          <w:rFonts w:hint="eastAsia" w:ascii="宋体" w:hAnsi="宋体"/>
          <w:b/>
          <w:bCs/>
          <w:color w:val="auto"/>
          <w:spacing w:val="8"/>
          <w:sz w:val="28"/>
          <w:highlight w:val="none"/>
        </w:rPr>
        <w:t>月</w:t>
      </w:r>
      <w:r>
        <w:rPr>
          <w:rFonts w:hint="eastAsia" w:ascii="宋体" w:hAnsi="宋体"/>
          <w:b/>
          <w:bCs/>
          <w:color w:val="auto"/>
          <w:spacing w:val="8"/>
          <w:sz w:val="28"/>
          <w:highlight w:val="none"/>
          <w:u w:val="single"/>
        </w:rPr>
        <w:t xml:space="preserve">   </w:t>
      </w:r>
      <w:r>
        <w:rPr>
          <w:rFonts w:hint="eastAsia" w:ascii="宋体" w:hAnsi="宋体"/>
          <w:b/>
          <w:bCs/>
          <w:color w:val="auto"/>
          <w:spacing w:val="8"/>
          <w:sz w:val="28"/>
          <w:highlight w:val="none"/>
        </w:rPr>
        <w:t>日</w:t>
      </w:r>
      <w:r>
        <w:rPr>
          <w:rFonts w:hint="eastAsia" w:ascii="宋体" w:hAnsi="宋体"/>
          <w:color w:val="auto"/>
          <w:spacing w:val="8"/>
          <w:sz w:val="28"/>
          <w:highlight w:val="none"/>
        </w:rPr>
        <w:t xml:space="preserve"> </w:t>
      </w:r>
    </w:p>
    <w:p>
      <w:pPr>
        <w:adjustRightInd w:val="0"/>
        <w:snapToGrid w:val="0"/>
        <w:spacing w:line="520" w:lineRule="exact"/>
        <w:jc w:val="center"/>
        <w:rPr>
          <w:rFonts w:hint="eastAsia" w:ascii="宋体" w:hAnsi="宋体"/>
          <w:color w:val="auto"/>
          <w:spacing w:val="8"/>
          <w:sz w:val="28"/>
          <w:highlight w:val="none"/>
        </w:rPr>
      </w:pPr>
      <w:r>
        <w:rPr>
          <w:rFonts w:hint="eastAsia" w:ascii="宋体" w:hAnsi="宋体"/>
          <w:color w:val="auto"/>
          <w:spacing w:val="8"/>
          <w:sz w:val="28"/>
          <w:highlight w:val="none"/>
        </w:rPr>
        <w:br w:type="page"/>
      </w:r>
    </w:p>
    <w:p>
      <w:pPr>
        <w:adjustRightInd w:val="0"/>
        <w:snapToGrid w:val="0"/>
        <w:spacing w:line="520" w:lineRule="exact"/>
        <w:jc w:val="center"/>
        <w:rPr>
          <w:rFonts w:hint="eastAsia" w:ascii="宋体" w:hAnsi="宋体"/>
          <w:b/>
          <w:snapToGrid w:val="0"/>
          <w:color w:val="auto"/>
          <w:spacing w:val="8"/>
          <w:kern w:val="0"/>
          <w:sz w:val="28"/>
          <w:highlight w:val="none"/>
        </w:rPr>
      </w:pPr>
      <w:r>
        <w:rPr>
          <w:rFonts w:hint="eastAsia" w:ascii="宋体" w:hAnsi="宋体"/>
          <w:b/>
          <w:snapToGrid w:val="0"/>
          <w:color w:val="auto"/>
          <w:spacing w:val="8"/>
          <w:kern w:val="0"/>
          <w:sz w:val="28"/>
          <w:highlight w:val="none"/>
        </w:rPr>
        <w:t>目</w:t>
      </w:r>
      <w:r>
        <w:rPr>
          <w:rFonts w:ascii="宋体" w:hAnsi="宋体"/>
          <w:b/>
          <w:snapToGrid w:val="0"/>
          <w:color w:val="auto"/>
          <w:spacing w:val="8"/>
          <w:kern w:val="0"/>
          <w:sz w:val="28"/>
          <w:highlight w:val="none"/>
        </w:rPr>
        <w:t xml:space="preserve">   </w:t>
      </w:r>
      <w:r>
        <w:rPr>
          <w:rFonts w:hint="eastAsia" w:ascii="宋体" w:hAnsi="宋体"/>
          <w:b/>
          <w:snapToGrid w:val="0"/>
          <w:color w:val="auto"/>
          <w:spacing w:val="8"/>
          <w:kern w:val="0"/>
          <w:sz w:val="28"/>
          <w:highlight w:val="none"/>
        </w:rPr>
        <w:t>录</w:t>
      </w:r>
    </w:p>
    <w:p>
      <w:pPr>
        <w:adjustRightInd w:val="0"/>
        <w:snapToGrid w:val="0"/>
        <w:spacing w:line="520" w:lineRule="exact"/>
        <w:ind w:firstLine="512" w:firstLineChars="200"/>
        <w:rPr>
          <w:rFonts w:hint="eastAsia" w:ascii="宋体" w:hAnsi="宋体"/>
          <w:snapToGrid w:val="0"/>
          <w:color w:val="auto"/>
          <w:spacing w:val="8"/>
          <w:kern w:val="0"/>
          <w:sz w:val="24"/>
          <w:highlight w:val="none"/>
        </w:rPr>
      </w:pPr>
    </w:p>
    <w:p>
      <w:pPr>
        <w:adjustRightInd w:val="0"/>
        <w:snapToGrid w:val="0"/>
        <w:spacing w:line="480" w:lineRule="auto"/>
        <w:ind w:firstLine="768" w:firstLineChars="300"/>
        <w:rPr>
          <w:rFonts w:hint="eastAsia" w:ascii="宋体" w:hAnsi="宋体" w:eastAsia="宋体" w:cs="Times New Roman"/>
          <w:color w:val="auto"/>
          <w:spacing w:val="8"/>
          <w:sz w:val="24"/>
          <w:highlight w:val="none"/>
        </w:rPr>
      </w:pPr>
      <w:r>
        <w:rPr>
          <w:rFonts w:hint="eastAsia" w:ascii="宋体" w:hAnsi="宋体" w:eastAsia="宋体" w:cs="Times New Roman"/>
          <w:color w:val="auto"/>
          <w:spacing w:val="8"/>
          <w:sz w:val="24"/>
          <w:highlight w:val="none"/>
          <w:lang w:eastAsia="zh-CN"/>
        </w:rPr>
        <w:t>第一部分：商务部分（明标部分）</w:t>
      </w:r>
    </w:p>
    <w:p>
      <w:pPr>
        <w:adjustRightInd w:val="0"/>
        <w:snapToGrid w:val="0"/>
        <w:spacing w:line="480" w:lineRule="auto"/>
        <w:ind w:firstLine="768" w:firstLineChars="300"/>
        <w:rPr>
          <w:rFonts w:hint="eastAsia" w:ascii="宋体" w:hAnsi="宋体"/>
          <w:color w:val="auto"/>
          <w:spacing w:val="8"/>
          <w:sz w:val="24"/>
          <w:highlight w:val="none"/>
        </w:rPr>
      </w:pPr>
      <w:r>
        <w:rPr>
          <w:rFonts w:hint="eastAsia" w:ascii="宋体" w:hAnsi="宋体" w:eastAsia="宋体" w:cs="Times New Roman"/>
          <w:color w:val="auto"/>
          <w:spacing w:val="8"/>
          <w:sz w:val="24"/>
          <w:highlight w:val="none"/>
        </w:rPr>
        <w:t>一、法定代表人资格证明书</w:t>
      </w:r>
      <w:r>
        <w:rPr>
          <w:rFonts w:hint="eastAsia" w:ascii="宋体" w:hAnsi="宋体" w:eastAsia="宋体" w:cs="Times New Roman"/>
          <w:color w:val="auto"/>
          <w:spacing w:val="8"/>
          <w:sz w:val="24"/>
          <w:highlight w:val="none"/>
          <w:lang w:val="en-US" w:eastAsia="zh-CN"/>
        </w:rPr>
        <w:t>及</w:t>
      </w:r>
      <w:r>
        <w:rPr>
          <w:rFonts w:hint="eastAsia" w:ascii="宋体" w:hAnsi="宋体" w:eastAsia="宋体" w:cs="Times New Roman"/>
          <w:color w:val="auto"/>
          <w:spacing w:val="8"/>
          <w:sz w:val="24"/>
          <w:highlight w:val="none"/>
        </w:rPr>
        <w:t>法定代表人授权书</w:t>
      </w:r>
      <w:r>
        <w:rPr>
          <w:rFonts w:hint="eastAsia" w:ascii="宋体" w:hAnsi="宋体"/>
          <w:color w:val="auto"/>
          <w:spacing w:val="8"/>
          <w:sz w:val="24"/>
          <w:highlight w:val="none"/>
        </w:rPr>
        <w:t xml:space="preserve"> </w:t>
      </w:r>
    </w:p>
    <w:p>
      <w:pPr>
        <w:adjustRightInd w:val="0"/>
        <w:snapToGrid w:val="0"/>
        <w:spacing w:line="480" w:lineRule="auto"/>
        <w:ind w:firstLine="768" w:firstLineChars="300"/>
        <w:rPr>
          <w:rFonts w:hint="eastAsia" w:ascii="宋体" w:hAnsi="宋体"/>
          <w:color w:val="auto"/>
          <w:spacing w:val="8"/>
          <w:sz w:val="24"/>
          <w:highlight w:val="none"/>
        </w:rPr>
      </w:pPr>
      <w:r>
        <w:rPr>
          <w:rFonts w:hint="eastAsia" w:ascii="宋体" w:hAnsi="宋体"/>
          <w:color w:val="auto"/>
          <w:spacing w:val="8"/>
          <w:sz w:val="24"/>
          <w:highlight w:val="none"/>
        </w:rPr>
        <w:t>二、法定代表人</w:t>
      </w:r>
      <w:r>
        <w:rPr>
          <w:rFonts w:hint="eastAsia" w:ascii="宋体" w:hAnsi="宋体"/>
          <w:color w:val="auto"/>
          <w:spacing w:val="8"/>
          <w:sz w:val="24"/>
          <w:highlight w:val="none"/>
          <w:lang w:val="en-US" w:eastAsia="zh-CN"/>
        </w:rPr>
        <w:t>及</w:t>
      </w:r>
      <w:r>
        <w:rPr>
          <w:rFonts w:hint="eastAsia" w:ascii="宋体" w:hAnsi="宋体"/>
          <w:color w:val="auto"/>
          <w:spacing w:val="8"/>
          <w:sz w:val="24"/>
          <w:highlight w:val="none"/>
        </w:rPr>
        <w:t xml:space="preserve">其授权代表身份证复印件 </w:t>
      </w:r>
    </w:p>
    <w:p>
      <w:pPr>
        <w:adjustRightInd w:val="0"/>
        <w:snapToGrid w:val="0"/>
        <w:spacing w:line="480" w:lineRule="auto"/>
        <w:ind w:firstLine="768" w:firstLineChars="300"/>
        <w:rPr>
          <w:rFonts w:hint="eastAsia" w:ascii="宋体" w:hAnsi="宋体"/>
          <w:snapToGrid w:val="0"/>
          <w:color w:val="auto"/>
          <w:spacing w:val="8"/>
          <w:kern w:val="0"/>
          <w:sz w:val="24"/>
          <w:highlight w:val="none"/>
        </w:rPr>
      </w:pPr>
      <w:r>
        <w:rPr>
          <w:rFonts w:hint="eastAsia" w:ascii="宋体" w:hAnsi="宋体"/>
          <w:snapToGrid w:val="0"/>
          <w:color w:val="auto"/>
          <w:spacing w:val="8"/>
          <w:kern w:val="0"/>
          <w:sz w:val="24"/>
          <w:highlight w:val="none"/>
        </w:rPr>
        <w:t>三</w:t>
      </w:r>
      <w:r>
        <w:rPr>
          <w:rFonts w:ascii="宋体" w:hAnsi="宋体"/>
          <w:snapToGrid w:val="0"/>
          <w:color w:val="auto"/>
          <w:spacing w:val="8"/>
          <w:kern w:val="0"/>
          <w:sz w:val="24"/>
          <w:highlight w:val="none"/>
        </w:rPr>
        <w:t>、</w:t>
      </w:r>
      <w:r>
        <w:rPr>
          <w:rFonts w:hint="eastAsia" w:ascii="宋体" w:hAnsi="宋体"/>
          <w:snapToGrid w:val="0"/>
          <w:color w:val="auto"/>
          <w:spacing w:val="8"/>
          <w:kern w:val="0"/>
          <w:sz w:val="24"/>
          <w:highlight w:val="none"/>
          <w:lang w:val="en-US" w:eastAsia="zh-CN"/>
        </w:rPr>
        <w:t>企业基本银行存款账户证明材料</w:t>
      </w:r>
    </w:p>
    <w:p>
      <w:pPr>
        <w:adjustRightInd w:val="0"/>
        <w:snapToGrid w:val="0"/>
        <w:spacing w:line="480" w:lineRule="auto"/>
        <w:ind w:firstLine="768" w:firstLineChars="300"/>
        <w:rPr>
          <w:rFonts w:hint="eastAsia" w:ascii="宋体" w:hAnsi="宋体"/>
          <w:color w:val="auto"/>
          <w:spacing w:val="8"/>
          <w:sz w:val="24"/>
          <w:highlight w:val="none"/>
        </w:rPr>
      </w:pPr>
      <w:r>
        <w:rPr>
          <w:rFonts w:hint="eastAsia" w:ascii="宋体" w:hAnsi="宋体"/>
          <w:color w:val="auto"/>
          <w:spacing w:val="8"/>
          <w:sz w:val="24"/>
          <w:highlight w:val="none"/>
        </w:rPr>
        <w:t>四、投标函</w:t>
      </w:r>
    </w:p>
    <w:p>
      <w:pPr>
        <w:adjustRightInd w:val="0"/>
        <w:snapToGrid w:val="0"/>
        <w:spacing w:line="480" w:lineRule="auto"/>
        <w:ind w:firstLine="768" w:firstLineChars="300"/>
        <w:rPr>
          <w:rFonts w:hint="eastAsia"/>
          <w:highlight w:val="none"/>
        </w:rPr>
      </w:pPr>
      <w:r>
        <w:rPr>
          <w:rFonts w:hint="eastAsia" w:ascii="宋体" w:hAnsi="宋体"/>
          <w:color w:val="auto"/>
          <w:spacing w:val="8"/>
          <w:sz w:val="24"/>
          <w:highlight w:val="none"/>
        </w:rPr>
        <w:t>五、</w:t>
      </w:r>
      <w:r>
        <w:rPr>
          <w:rFonts w:hint="eastAsia" w:ascii="宋体" w:hAnsi="宋体"/>
          <w:color w:val="auto"/>
          <w:spacing w:val="8"/>
          <w:sz w:val="24"/>
          <w:highlight w:val="none"/>
          <w:lang w:eastAsia="zh-CN"/>
        </w:rPr>
        <w:t>报价明细表</w:t>
      </w:r>
      <w:r>
        <w:rPr>
          <w:rFonts w:hint="eastAsia" w:ascii="宋体" w:hAnsi="宋体"/>
          <w:color w:val="auto"/>
          <w:spacing w:val="8"/>
          <w:sz w:val="24"/>
          <w:highlight w:val="none"/>
        </w:rPr>
        <w:t xml:space="preserve"> </w:t>
      </w:r>
    </w:p>
    <w:p>
      <w:pPr>
        <w:adjustRightInd w:val="0"/>
        <w:snapToGrid w:val="0"/>
        <w:spacing w:line="480" w:lineRule="auto"/>
        <w:ind w:firstLine="768" w:firstLineChars="300"/>
        <w:rPr>
          <w:rFonts w:hint="eastAsia" w:ascii="宋体" w:hAnsi="宋体"/>
          <w:snapToGrid w:val="0"/>
          <w:color w:val="auto"/>
          <w:spacing w:val="8"/>
          <w:kern w:val="0"/>
          <w:sz w:val="24"/>
          <w:highlight w:val="none"/>
        </w:rPr>
      </w:pPr>
      <w:r>
        <w:rPr>
          <w:rFonts w:hint="eastAsia" w:ascii="宋体" w:hAnsi="宋体"/>
          <w:snapToGrid w:val="0"/>
          <w:color w:val="auto"/>
          <w:spacing w:val="8"/>
          <w:kern w:val="0"/>
          <w:sz w:val="24"/>
          <w:highlight w:val="none"/>
          <w:lang w:val="en-US" w:eastAsia="zh-CN"/>
        </w:rPr>
        <w:t>六</w:t>
      </w:r>
      <w:r>
        <w:rPr>
          <w:rFonts w:hint="eastAsia" w:ascii="宋体" w:hAnsi="宋体"/>
          <w:snapToGrid w:val="0"/>
          <w:color w:val="auto"/>
          <w:spacing w:val="8"/>
          <w:kern w:val="0"/>
          <w:sz w:val="24"/>
          <w:highlight w:val="none"/>
        </w:rPr>
        <w:t xml:space="preserve">、投标人资质证明文件 </w:t>
      </w:r>
    </w:p>
    <w:p>
      <w:pPr>
        <w:adjustRightInd w:val="0"/>
        <w:snapToGrid w:val="0"/>
        <w:spacing w:line="480" w:lineRule="auto"/>
        <w:ind w:firstLine="768" w:firstLineChars="300"/>
        <w:rPr>
          <w:rFonts w:hint="eastAsia" w:ascii="宋体" w:hAnsi="宋体"/>
          <w:snapToGrid w:val="0"/>
          <w:color w:val="auto"/>
          <w:spacing w:val="8"/>
          <w:kern w:val="0"/>
          <w:sz w:val="24"/>
          <w:highlight w:val="none"/>
        </w:rPr>
      </w:pPr>
      <w:r>
        <w:rPr>
          <w:rFonts w:hint="eastAsia" w:ascii="宋体" w:hAnsi="宋体"/>
          <w:snapToGrid w:val="0"/>
          <w:color w:val="auto"/>
          <w:spacing w:val="8"/>
          <w:kern w:val="0"/>
          <w:sz w:val="24"/>
          <w:highlight w:val="none"/>
          <w:lang w:eastAsia="zh-CN"/>
        </w:rPr>
        <w:t>七</w:t>
      </w:r>
      <w:r>
        <w:rPr>
          <w:rFonts w:hint="eastAsia" w:ascii="宋体" w:hAnsi="宋体"/>
          <w:snapToGrid w:val="0"/>
          <w:color w:val="auto"/>
          <w:spacing w:val="8"/>
          <w:kern w:val="0"/>
          <w:sz w:val="24"/>
          <w:highlight w:val="none"/>
        </w:rPr>
        <w:t>、投标人认为有必要提供的其它资料</w:t>
      </w:r>
    </w:p>
    <w:p>
      <w:pPr>
        <w:adjustRightInd w:val="0"/>
        <w:snapToGrid w:val="0"/>
        <w:spacing w:line="480" w:lineRule="auto"/>
        <w:ind w:firstLine="768" w:firstLineChars="300"/>
        <w:rPr>
          <w:rFonts w:hint="eastAsia" w:ascii="宋体" w:hAnsi="宋体"/>
          <w:snapToGrid w:val="0"/>
          <w:color w:val="auto"/>
          <w:spacing w:val="8"/>
          <w:kern w:val="0"/>
          <w:sz w:val="24"/>
          <w:highlight w:val="none"/>
        </w:rPr>
      </w:pPr>
      <w:r>
        <w:rPr>
          <w:rFonts w:hint="eastAsia" w:ascii="宋体" w:hAnsi="宋体"/>
          <w:snapToGrid w:val="0"/>
          <w:color w:val="auto"/>
          <w:spacing w:val="8"/>
          <w:kern w:val="0"/>
          <w:sz w:val="24"/>
          <w:highlight w:val="none"/>
          <w:lang w:val="en-US" w:eastAsia="zh-CN"/>
        </w:rPr>
        <w:t>八</w:t>
      </w:r>
      <w:r>
        <w:rPr>
          <w:rFonts w:hint="eastAsia" w:ascii="宋体" w:hAnsi="宋体"/>
          <w:snapToGrid w:val="0"/>
          <w:color w:val="auto"/>
          <w:spacing w:val="8"/>
          <w:kern w:val="0"/>
          <w:sz w:val="24"/>
          <w:highlight w:val="none"/>
        </w:rPr>
        <w:t>、技术文件</w:t>
      </w:r>
    </w:p>
    <w:p>
      <w:pPr>
        <w:adjustRightInd w:val="0"/>
        <w:snapToGrid w:val="0"/>
        <w:spacing w:line="480" w:lineRule="auto"/>
        <w:ind w:firstLine="768" w:firstLineChars="300"/>
        <w:rPr>
          <w:rFonts w:hint="eastAsia" w:ascii="宋体" w:hAnsi="宋体"/>
          <w:snapToGrid w:val="0"/>
          <w:color w:val="auto"/>
          <w:spacing w:val="8"/>
          <w:kern w:val="0"/>
          <w:sz w:val="24"/>
          <w:highlight w:val="none"/>
          <w:lang w:eastAsia="zh-CN"/>
        </w:rPr>
      </w:pPr>
      <w:r>
        <w:rPr>
          <w:rFonts w:hint="eastAsia" w:ascii="宋体" w:hAnsi="宋体"/>
          <w:snapToGrid w:val="0"/>
          <w:color w:val="auto"/>
          <w:spacing w:val="8"/>
          <w:kern w:val="0"/>
          <w:sz w:val="24"/>
          <w:highlight w:val="none"/>
          <w:lang w:eastAsia="zh-CN"/>
        </w:rPr>
        <w:t>第二部分：技术部分（暗标部分）</w:t>
      </w:r>
    </w:p>
    <w:p>
      <w:pPr>
        <w:adjustRightInd w:val="0"/>
        <w:snapToGrid w:val="0"/>
        <w:spacing w:line="480" w:lineRule="auto"/>
        <w:ind w:firstLine="768" w:firstLineChars="300"/>
        <w:rPr>
          <w:rFonts w:hint="eastAsia" w:ascii="宋体" w:hAnsi="宋体" w:eastAsia="宋体"/>
          <w:color w:val="auto"/>
          <w:spacing w:val="8"/>
          <w:sz w:val="24"/>
          <w:highlight w:val="none"/>
          <w:lang w:eastAsia="zh-CN"/>
        </w:rPr>
      </w:pPr>
      <w:r>
        <w:rPr>
          <w:rFonts w:hint="eastAsia" w:ascii="宋体" w:hAnsi="宋体" w:eastAsia="宋体"/>
          <w:color w:val="auto"/>
          <w:spacing w:val="8"/>
          <w:sz w:val="24"/>
          <w:highlight w:val="none"/>
          <w:lang w:eastAsia="zh-CN"/>
        </w:rPr>
        <w:t>一、投标偏离表</w:t>
      </w:r>
    </w:p>
    <w:p>
      <w:pPr>
        <w:adjustRightInd w:val="0"/>
        <w:snapToGrid w:val="0"/>
        <w:spacing w:line="480" w:lineRule="auto"/>
        <w:ind w:firstLine="768" w:firstLineChars="300"/>
        <w:rPr>
          <w:rFonts w:hint="eastAsia" w:ascii="宋体" w:hAnsi="宋体" w:eastAsia="宋体"/>
          <w:color w:val="auto"/>
          <w:spacing w:val="8"/>
          <w:sz w:val="24"/>
          <w:highlight w:val="none"/>
          <w:lang w:val="en-US" w:eastAsia="zh-CN"/>
        </w:rPr>
      </w:pPr>
      <w:r>
        <w:rPr>
          <w:rFonts w:hint="eastAsia" w:ascii="宋体" w:hAnsi="宋体" w:eastAsia="宋体"/>
          <w:color w:val="auto"/>
          <w:spacing w:val="8"/>
          <w:sz w:val="24"/>
          <w:highlight w:val="none"/>
          <w:lang w:val="en-US" w:eastAsia="zh-CN"/>
        </w:rPr>
        <w:t>二、</w:t>
      </w:r>
      <w:r>
        <w:rPr>
          <w:rFonts w:hint="eastAsia" w:ascii="宋体" w:hAnsi="宋体"/>
          <w:color w:val="auto"/>
          <w:spacing w:val="8"/>
          <w:sz w:val="24"/>
          <w:highlight w:val="none"/>
          <w:lang w:val="en-US" w:eastAsia="zh-CN"/>
        </w:rPr>
        <w:t>实施方案</w:t>
      </w:r>
    </w:p>
    <w:p>
      <w:pPr>
        <w:adjustRightInd w:val="0"/>
        <w:snapToGrid w:val="0"/>
        <w:spacing w:line="480" w:lineRule="auto"/>
        <w:ind w:firstLine="768" w:firstLineChars="300"/>
        <w:rPr>
          <w:rFonts w:hint="eastAsia" w:ascii="宋体" w:hAnsi="宋体"/>
          <w:color w:val="auto"/>
          <w:spacing w:val="8"/>
          <w:sz w:val="24"/>
          <w:highlight w:val="none"/>
          <w:lang w:val="en-US" w:eastAsia="zh-CN"/>
        </w:rPr>
      </w:pPr>
      <w:r>
        <w:rPr>
          <w:rFonts w:hint="eastAsia" w:ascii="宋体" w:hAnsi="宋体"/>
          <w:color w:val="auto"/>
          <w:spacing w:val="8"/>
          <w:sz w:val="24"/>
          <w:highlight w:val="none"/>
          <w:lang w:val="en-US" w:eastAsia="zh-CN"/>
        </w:rPr>
        <w:t>三、产品质量承诺及保证措施</w:t>
      </w:r>
    </w:p>
    <w:p>
      <w:pPr>
        <w:adjustRightInd w:val="0"/>
        <w:snapToGrid w:val="0"/>
        <w:spacing w:line="480" w:lineRule="auto"/>
        <w:ind w:firstLine="768" w:firstLineChars="300"/>
        <w:rPr>
          <w:rFonts w:hint="eastAsia" w:ascii="宋体" w:hAnsi="宋体"/>
          <w:color w:val="auto"/>
          <w:spacing w:val="8"/>
          <w:sz w:val="24"/>
          <w:highlight w:val="none"/>
          <w:lang w:val="en-US" w:eastAsia="zh-CN"/>
        </w:rPr>
      </w:pPr>
      <w:r>
        <w:rPr>
          <w:rFonts w:hint="eastAsia" w:ascii="宋体" w:hAnsi="宋体"/>
          <w:color w:val="auto"/>
          <w:spacing w:val="8"/>
          <w:sz w:val="24"/>
          <w:highlight w:val="none"/>
          <w:lang w:val="en-US" w:eastAsia="zh-CN"/>
        </w:rPr>
        <w:t>四、供货安装及调试保证措施</w:t>
      </w:r>
    </w:p>
    <w:p>
      <w:pPr>
        <w:adjustRightInd w:val="0"/>
        <w:snapToGrid w:val="0"/>
        <w:spacing w:line="480" w:lineRule="auto"/>
        <w:ind w:firstLine="768" w:firstLineChars="300"/>
        <w:rPr>
          <w:rFonts w:hint="eastAsia" w:ascii="宋体" w:hAnsi="宋体"/>
          <w:color w:val="auto"/>
          <w:spacing w:val="8"/>
          <w:sz w:val="24"/>
          <w:highlight w:val="none"/>
          <w:lang w:val="en-US" w:eastAsia="zh-CN"/>
        </w:rPr>
      </w:pPr>
      <w:r>
        <w:rPr>
          <w:rFonts w:hint="eastAsia" w:ascii="宋体" w:hAnsi="宋体"/>
          <w:color w:val="auto"/>
          <w:spacing w:val="8"/>
          <w:sz w:val="24"/>
          <w:highlight w:val="none"/>
          <w:lang w:val="en-US" w:eastAsia="zh-CN"/>
        </w:rPr>
        <w:t>五、售后服务承诺及保证措施</w:t>
      </w:r>
    </w:p>
    <w:p>
      <w:pPr>
        <w:adjustRightInd w:val="0"/>
        <w:snapToGrid w:val="0"/>
        <w:spacing w:line="480" w:lineRule="auto"/>
        <w:ind w:firstLine="771" w:firstLineChars="300"/>
        <w:rPr>
          <w:rFonts w:hint="eastAsia" w:ascii="宋体" w:hAnsi="宋体"/>
          <w:b/>
          <w:bCs/>
          <w:snapToGrid w:val="0"/>
          <w:color w:val="auto"/>
          <w:spacing w:val="8"/>
          <w:kern w:val="0"/>
          <w:sz w:val="24"/>
          <w:highlight w:val="none"/>
        </w:rPr>
      </w:pPr>
    </w:p>
    <w:p>
      <w:pPr>
        <w:adjustRightInd w:val="0"/>
        <w:snapToGrid w:val="0"/>
        <w:spacing w:line="520" w:lineRule="exact"/>
        <w:jc w:val="center"/>
        <w:rPr>
          <w:rFonts w:hint="eastAsia" w:ascii="宋体" w:hAnsi="宋体"/>
          <w:b/>
          <w:snapToGrid w:val="0"/>
          <w:color w:val="auto"/>
          <w:spacing w:val="8"/>
          <w:kern w:val="0"/>
          <w:sz w:val="28"/>
          <w:highlight w:val="none"/>
        </w:rPr>
      </w:pPr>
      <w:r>
        <w:rPr>
          <w:rFonts w:hint="eastAsia" w:ascii="宋体" w:hAnsi="宋体"/>
          <w:color w:val="auto"/>
          <w:spacing w:val="8"/>
          <w:sz w:val="28"/>
          <w:highlight w:val="none"/>
        </w:rPr>
        <w:br w:type="page"/>
      </w:r>
    </w:p>
    <w:p>
      <w:pPr>
        <w:pStyle w:val="18"/>
        <w:spacing w:line="440" w:lineRule="exact"/>
        <w:jc w:val="center"/>
        <w:outlineLvl w:val="0"/>
        <w:rPr>
          <w:rFonts w:hint="eastAsia" w:ascii="Times New Roman" w:hAnsi="Times New Roman"/>
          <w:b/>
          <w:bCs/>
          <w:color w:val="auto"/>
          <w:sz w:val="36"/>
          <w:szCs w:val="24"/>
          <w:highlight w:val="none"/>
        </w:rPr>
      </w:pPr>
      <w:bookmarkStart w:id="12" w:name="_Toc4733"/>
      <w:bookmarkStart w:id="13" w:name="_Toc4904"/>
      <w:bookmarkStart w:id="14" w:name="_Toc9501"/>
      <w:r>
        <w:rPr>
          <w:rFonts w:hint="eastAsia" w:hAnsi="宋体"/>
          <w:b/>
          <w:snapToGrid w:val="0"/>
          <w:color w:val="auto"/>
          <w:spacing w:val="8"/>
          <w:kern w:val="0"/>
          <w:sz w:val="28"/>
          <w:highlight w:val="none"/>
        </w:rPr>
        <w:t>一、法定代表人资格证明书</w:t>
      </w:r>
      <w:bookmarkEnd w:id="12"/>
      <w:bookmarkEnd w:id="13"/>
      <w:bookmarkEnd w:id="14"/>
    </w:p>
    <w:p>
      <w:pPr>
        <w:pStyle w:val="18"/>
        <w:spacing w:line="440" w:lineRule="exact"/>
        <w:jc w:val="center"/>
        <w:rPr>
          <w:rFonts w:hint="eastAsia"/>
          <w:color w:val="auto"/>
          <w:highlight w:val="none"/>
        </w:rPr>
      </w:pPr>
    </w:p>
    <w:p>
      <w:pPr>
        <w:autoSpaceDE w:val="0"/>
        <w:autoSpaceDN w:val="0"/>
        <w:adjustRightInd w:val="0"/>
        <w:spacing w:line="360" w:lineRule="auto"/>
        <w:ind w:firstLine="480" w:firstLineChars="200"/>
        <w:jc w:val="left"/>
        <w:rPr>
          <w:rFonts w:hint="eastAsia" w:ascii="宋体" w:hAnsi="宋体"/>
          <w:color w:val="auto"/>
          <w:kern w:val="0"/>
          <w:sz w:val="24"/>
          <w:highlight w:val="none"/>
          <w:u w:val="single"/>
        </w:rPr>
      </w:pPr>
      <w:r>
        <w:rPr>
          <w:rFonts w:hint="eastAsia" w:ascii="宋体" w:hAnsi="宋体"/>
          <w:color w:val="auto"/>
          <w:kern w:val="0"/>
          <w:sz w:val="24"/>
          <w:highlight w:val="none"/>
        </w:rPr>
        <w:t>单位名称：</w:t>
      </w:r>
      <w:r>
        <w:rPr>
          <w:rFonts w:hint="eastAsia" w:ascii="宋体" w:hAnsi="宋体"/>
          <w:color w:val="auto"/>
          <w:kern w:val="0"/>
          <w:sz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color w:val="auto"/>
          <w:kern w:val="0"/>
          <w:sz w:val="24"/>
          <w:highlight w:val="none"/>
          <w:u w:val="single"/>
        </w:rPr>
      </w:pPr>
      <w:r>
        <w:rPr>
          <w:rFonts w:hint="eastAsia" w:ascii="宋体" w:hAnsi="宋体"/>
          <w:color w:val="auto"/>
          <w:kern w:val="0"/>
          <w:sz w:val="24"/>
          <w:highlight w:val="none"/>
        </w:rPr>
        <w:t>单位性质：</w:t>
      </w:r>
      <w:r>
        <w:rPr>
          <w:rFonts w:hint="eastAsia" w:ascii="宋体" w:hAnsi="宋体"/>
          <w:color w:val="auto"/>
          <w:kern w:val="0"/>
          <w:sz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color w:val="auto"/>
          <w:kern w:val="0"/>
          <w:sz w:val="24"/>
          <w:highlight w:val="none"/>
          <w:u w:val="single"/>
        </w:rPr>
      </w:pPr>
      <w:r>
        <w:rPr>
          <w:rFonts w:hint="eastAsia" w:ascii="宋体" w:hAnsi="宋体"/>
          <w:color w:val="auto"/>
          <w:kern w:val="0"/>
          <w:sz w:val="24"/>
          <w:highlight w:val="none"/>
        </w:rPr>
        <w:t>地址：</w:t>
      </w:r>
      <w:r>
        <w:rPr>
          <w:rFonts w:hint="eastAsia" w:ascii="宋体" w:hAnsi="宋体"/>
          <w:color w:val="auto"/>
          <w:kern w:val="0"/>
          <w:sz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成立时间：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w:t>
      </w:r>
    </w:p>
    <w:p>
      <w:pPr>
        <w:autoSpaceDE w:val="0"/>
        <w:autoSpaceDN w:val="0"/>
        <w:adjustRightInd w:val="0"/>
        <w:spacing w:line="360" w:lineRule="auto"/>
        <w:ind w:firstLine="480" w:firstLineChars="200"/>
        <w:jc w:val="left"/>
        <w:rPr>
          <w:rFonts w:hint="eastAsia" w:ascii="宋体" w:hAnsi="宋体"/>
          <w:color w:val="auto"/>
          <w:kern w:val="0"/>
          <w:sz w:val="24"/>
          <w:highlight w:val="none"/>
          <w:u w:val="single"/>
        </w:rPr>
      </w:pPr>
      <w:r>
        <w:rPr>
          <w:rFonts w:hint="eastAsia" w:ascii="宋体" w:hAnsi="宋体"/>
          <w:color w:val="auto"/>
          <w:kern w:val="0"/>
          <w:sz w:val="24"/>
          <w:highlight w:val="none"/>
        </w:rPr>
        <w:t>经营期限：</w:t>
      </w:r>
      <w:r>
        <w:rPr>
          <w:rFonts w:hint="eastAsia" w:ascii="宋体" w:hAnsi="宋体"/>
          <w:color w:val="auto"/>
          <w:kern w:val="0"/>
          <w:sz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color w:val="auto"/>
          <w:kern w:val="0"/>
          <w:sz w:val="24"/>
          <w:highlight w:val="none"/>
          <w:u w:val="single"/>
        </w:rPr>
      </w:pPr>
      <w:r>
        <w:rPr>
          <w:rFonts w:hint="eastAsia" w:ascii="宋体" w:hAnsi="宋体"/>
          <w:color w:val="auto"/>
          <w:kern w:val="0"/>
          <w:sz w:val="24"/>
          <w:highlight w:val="none"/>
        </w:rPr>
        <w:t>姓名：</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性别：</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年龄：</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职务：</w:t>
      </w:r>
      <w:r>
        <w:rPr>
          <w:rFonts w:hint="eastAsia" w:ascii="宋体" w:hAnsi="宋体"/>
          <w:color w:val="auto"/>
          <w:kern w:val="0"/>
          <w:sz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系</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（投标单位名称）的法定代表人。</w:t>
      </w:r>
    </w:p>
    <w:p>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特此证明。</w:t>
      </w:r>
    </w:p>
    <w:p>
      <w:pPr>
        <w:autoSpaceDE w:val="0"/>
        <w:autoSpaceDN w:val="0"/>
        <w:adjustRightInd w:val="0"/>
        <w:spacing w:line="360" w:lineRule="auto"/>
        <w:ind w:firstLine="480" w:firstLineChars="200"/>
        <w:jc w:val="left"/>
        <w:rPr>
          <w:rFonts w:hint="eastAsia" w:ascii="宋体" w:hAnsi="宋体"/>
          <w:color w:val="auto"/>
          <w:kern w:val="0"/>
          <w:sz w:val="24"/>
          <w:highlight w:val="none"/>
        </w:rPr>
      </w:pPr>
    </w:p>
    <w:p>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投标单位：</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（公章）             </w:t>
      </w:r>
    </w:p>
    <w:p>
      <w:pPr>
        <w:spacing w:line="360" w:lineRule="auto"/>
        <w:ind w:firstLine="720" w:firstLineChars="300"/>
        <w:jc w:val="center"/>
        <w:rPr>
          <w:rFonts w:hint="eastAsia" w:ascii="宋体" w:hAnsi="宋体"/>
          <w:color w:val="auto"/>
          <w:kern w:val="0"/>
          <w:sz w:val="24"/>
          <w:highlight w:val="none"/>
        </w:rPr>
      </w:pPr>
      <w:r>
        <w:rPr>
          <w:rFonts w:hint="eastAsia" w:ascii="宋体" w:hAnsi="宋体"/>
          <w:color w:val="auto"/>
          <w:kern w:val="0"/>
          <w:sz w:val="24"/>
          <w:highlight w:val="none"/>
        </w:rPr>
        <w:t xml:space="preserve">                                             年   月   日</w:t>
      </w:r>
    </w:p>
    <w:p>
      <w:pPr>
        <w:spacing w:before="120" w:beforeLines="50" w:after="120" w:afterLines="50" w:line="360" w:lineRule="auto"/>
        <w:ind w:firstLine="482" w:firstLineChars="200"/>
        <w:rPr>
          <w:rFonts w:hint="eastAsia" w:ascii="宋体"/>
          <w:b/>
          <w:color w:val="auto"/>
          <w:sz w:val="24"/>
          <w:highlight w:val="none"/>
        </w:rPr>
      </w:pPr>
    </w:p>
    <w:p>
      <w:pPr>
        <w:spacing w:before="120" w:beforeLines="50" w:after="120" w:afterLines="50" w:line="360" w:lineRule="auto"/>
        <w:ind w:firstLine="482" w:firstLineChars="200"/>
        <w:rPr>
          <w:rFonts w:hint="eastAsia" w:ascii="宋体"/>
          <w:b/>
          <w:color w:val="auto"/>
          <w:sz w:val="24"/>
          <w:highlight w:val="none"/>
        </w:rPr>
      </w:pPr>
    </w:p>
    <w:p>
      <w:pPr>
        <w:adjustRightInd w:val="0"/>
        <w:snapToGrid w:val="0"/>
        <w:spacing w:line="480" w:lineRule="exact"/>
        <w:jc w:val="center"/>
        <w:rPr>
          <w:rFonts w:hint="eastAsia" w:ascii="宋体" w:hAnsi="宋体"/>
          <w:b/>
          <w:snapToGrid w:val="0"/>
          <w:color w:val="auto"/>
          <w:spacing w:val="8"/>
          <w:kern w:val="0"/>
          <w:sz w:val="28"/>
          <w:highlight w:val="none"/>
        </w:rPr>
      </w:pPr>
      <w:r>
        <w:rPr>
          <w:rFonts w:hint="eastAsia" w:ascii="宋体" w:hAnsi="宋体"/>
          <w:b/>
          <w:snapToGrid w:val="0"/>
          <w:color w:val="auto"/>
          <w:spacing w:val="8"/>
          <w:kern w:val="0"/>
          <w:sz w:val="28"/>
          <w:highlight w:val="none"/>
        </w:rPr>
        <w:br w:type="page"/>
      </w:r>
      <w:r>
        <w:rPr>
          <w:rFonts w:hint="eastAsia" w:ascii="宋体" w:hAnsi="宋体"/>
          <w:b/>
          <w:snapToGrid w:val="0"/>
          <w:color w:val="auto"/>
          <w:spacing w:val="8"/>
          <w:kern w:val="0"/>
          <w:sz w:val="28"/>
          <w:highlight w:val="none"/>
        </w:rPr>
        <w:t>法定代表人授权书</w:t>
      </w:r>
    </w:p>
    <w:p>
      <w:pPr>
        <w:adjustRightInd w:val="0"/>
        <w:snapToGrid w:val="0"/>
        <w:spacing w:line="480" w:lineRule="exact"/>
        <w:jc w:val="center"/>
        <w:rPr>
          <w:rFonts w:hint="eastAsia" w:ascii="宋体" w:hAnsi="宋体"/>
          <w:b/>
          <w:snapToGrid w:val="0"/>
          <w:color w:val="auto"/>
          <w:spacing w:val="8"/>
          <w:kern w:val="0"/>
          <w:sz w:val="28"/>
          <w:highlight w:val="none"/>
        </w:rPr>
      </w:pPr>
    </w:p>
    <w:p>
      <w:pPr>
        <w:spacing w:line="360" w:lineRule="auto"/>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（采购人名称）：</w:t>
      </w:r>
    </w:p>
    <w:p>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    本授权书声明：</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（投标人）的</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（法定代表人姓名、职务）授权</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（被授权人的姓名、职务）为本公司的合法代理人，就</w:t>
      </w:r>
      <w:r>
        <w:rPr>
          <w:rFonts w:hint="eastAsia" w:ascii="宋体" w:hAnsi="宋体"/>
          <w:b/>
          <w:color w:val="auto"/>
          <w:sz w:val="24"/>
          <w:szCs w:val="24"/>
          <w:highlight w:val="none"/>
          <w:u w:val="single"/>
        </w:rPr>
        <w:t xml:space="preserve"> （项目名称）</w:t>
      </w:r>
      <w:r>
        <w:rPr>
          <w:rFonts w:hint="eastAsia" w:ascii="宋体" w:hAnsi="宋体"/>
          <w:bCs/>
          <w:color w:val="auto"/>
          <w:sz w:val="24"/>
          <w:szCs w:val="24"/>
          <w:highlight w:val="none"/>
          <w:u w:val="single"/>
        </w:rPr>
        <w:t xml:space="preserve">   </w:t>
      </w:r>
      <w:r>
        <w:rPr>
          <w:rFonts w:hint="eastAsia" w:ascii="宋体" w:hAnsi="宋体"/>
          <w:snapToGrid w:val="0"/>
          <w:color w:val="auto"/>
          <w:kern w:val="0"/>
          <w:sz w:val="24"/>
          <w:szCs w:val="24"/>
          <w:highlight w:val="none"/>
        </w:rPr>
        <w:t>投标及合同的执行，以本公司名义处理一切与之有关的事务。</w:t>
      </w:r>
    </w:p>
    <w:p>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    本授权书于</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年</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月</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日签字生效，有效期</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天，特此声明。</w:t>
      </w:r>
    </w:p>
    <w:p>
      <w:pPr>
        <w:adjustRightInd w:val="0"/>
        <w:snapToGrid w:val="0"/>
        <w:spacing w:line="360" w:lineRule="auto"/>
        <w:rPr>
          <w:rFonts w:hint="eastAsia" w:ascii="宋体" w:hAnsi="宋体"/>
          <w:snapToGrid w:val="0"/>
          <w:color w:val="auto"/>
          <w:spacing w:val="8"/>
          <w:kern w:val="0"/>
          <w:sz w:val="24"/>
          <w:szCs w:val="24"/>
          <w:highlight w:val="none"/>
        </w:rPr>
      </w:pPr>
    </w:p>
    <w:p>
      <w:pPr>
        <w:adjustRightInd w:val="0"/>
        <w:snapToGrid w:val="0"/>
        <w:spacing w:line="360" w:lineRule="auto"/>
        <w:rPr>
          <w:rFonts w:hint="eastAsia" w:ascii="宋体" w:hAnsi="宋体"/>
          <w:snapToGrid w:val="0"/>
          <w:color w:val="auto"/>
          <w:spacing w:val="8"/>
          <w:kern w:val="0"/>
          <w:sz w:val="24"/>
          <w:szCs w:val="24"/>
          <w:highlight w:val="none"/>
        </w:rPr>
      </w:pPr>
    </w:p>
    <w:p>
      <w:pPr>
        <w:adjustRightInd w:val="0"/>
        <w:snapToGrid w:val="0"/>
        <w:spacing w:line="480" w:lineRule="exact"/>
        <w:rPr>
          <w:rFonts w:hint="eastAsia" w:ascii="宋体" w:hAnsi="宋体"/>
          <w:snapToGrid w:val="0"/>
          <w:color w:val="auto"/>
          <w:spacing w:val="8"/>
          <w:kern w:val="0"/>
          <w:sz w:val="24"/>
          <w:szCs w:val="24"/>
          <w:highlight w:val="none"/>
        </w:rPr>
      </w:pPr>
    </w:p>
    <w:p>
      <w:pPr>
        <w:adjustRightInd w:val="0"/>
        <w:snapToGrid w:val="0"/>
        <w:spacing w:line="480" w:lineRule="exact"/>
        <w:rPr>
          <w:rFonts w:hint="eastAsia" w:ascii="宋体" w:hAnsi="宋体"/>
          <w:snapToGrid w:val="0"/>
          <w:color w:val="auto"/>
          <w:spacing w:val="8"/>
          <w:kern w:val="0"/>
          <w:sz w:val="24"/>
          <w:szCs w:val="24"/>
          <w:highlight w:val="none"/>
        </w:rPr>
      </w:pPr>
    </w:p>
    <w:p>
      <w:pPr>
        <w:adjustRightInd w:val="0"/>
        <w:snapToGrid w:val="0"/>
        <w:spacing w:line="480" w:lineRule="exact"/>
        <w:rPr>
          <w:rFonts w:hint="eastAsia" w:ascii="宋体" w:hAnsi="宋体"/>
          <w:snapToGrid w:val="0"/>
          <w:color w:val="auto"/>
          <w:spacing w:val="8"/>
          <w:kern w:val="0"/>
          <w:sz w:val="24"/>
          <w:szCs w:val="24"/>
          <w:highlight w:val="none"/>
        </w:rPr>
      </w:pPr>
      <w:r>
        <w:rPr>
          <w:rFonts w:hint="eastAsia" w:ascii="宋体" w:hAnsi="宋体"/>
          <w:snapToGrid w:val="0"/>
          <w:color w:val="auto"/>
          <w:spacing w:val="8"/>
          <w:kern w:val="0"/>
          <w:sz w:val="24"/>
          <w:szCs w:val="24"/>
          <w:highlight w:val="none"/>
        </w:rPr>
        <w:t xml:space="preserve">    投标人：（公章）                  法定代表人：（签字</w:t>
      </w:r>
      <w:r>
        <w:rPr>
          <w:rFonts w:hint="eastAsia" w:ascii="宋体" w:hAnsi="宋体"/>
          <w:snapToGrid w:val="0"/>
          <w:color w:val="auto"/>
          <w:spacing w:val="8"/>
          <w:kern w:val="0"/>
          <w:sz w:val="24"/>
          <w:szCs w:val="24"/>
          <w:highlight w:val="none"/>
          <w:lang w:eastAsia="zh-CN"/>
        </w:rPr>
        <w:t>或</w:t>
      </w:r>
      <w:r>
        <w:rPr>
          <w:rFonts w:hint="eastAsia" w:ascii="宋体" w:hAnsi="宋体"/>
          <w:snapToGrid w:val="0"/>
          <w:color w:val="auto"/>
          <w:spacing w:val="8"/>
          <w:kern w:val="0"/>
          <w:sz w:val="24"/>
          <w:szCs w:val="24"/>
          <w:highlight w:val="none"/>
        </w:rPr>
        <w:t>盖章）</w:t>
      </w:r>
    </w:p>
    <w:p>
      <w:pPr>
        <w:adjustRightInd w:val="0"/>
        <w:snapToGrid w:val="0"/>
        <w:spacing w:line="480" w:lineRule="exact"/>
        <w:rPr>
          <w:rFonts w:hint="eastAsia" w:ascii="宋体" w:hAnsi="宋体"/>
          <w:snapToGrid w:val="0"/>
          <w:color w:val="auto"/>
          <w:spacing w:val="8"/>
          <w:kern w:val="0"/>
          <w:sz w:val="24"/>
          <w:szCs w:val="24"/>
          <w:highlight w:val="none"/>
          <w:u w:val="single"/>
        </w:rPr>
      </w:pPr>
    </w:p>
    <w:p>
      <w:pPr>
        <w:adjustRightInd w:val="0"/>
        <w:snapToGrid w:val="0"/>
        <w:spacing w:line="480" w:lineRule="exact"/>
        <w:jc w:val="center"/>
        <w:rPr>
          <w:rFonts w:hint="eastAsia" w:ascii="宋体" w:hAnsi="宋体"/>
          <w:snapToGrid w:val="0"/>
          <w:color w:val="auto"/>
          <w:spacing w:val="8"/>
          <w:kern w:val="0"/>
          <w:sz w:val="24"/>
          <w:szCs w:val="24"/>
          <w:highlight w:val="none"/>
        </w:rPr>
      </w:pPr>
      <w:r>
        <w:rPr>
          <w:rFonts w:hint="eastAsia" w:ascii="宋体" w:hAnsi="宋体"/>
          <w:snapToGrid w:val="0"/>
          <w:color w:val="auto"/>
          <w:spacing w:val="8"/>
          <w:kern w:val="0"/>
          <w:sz w:val="24"/>
          <w:szCs w:val="24"/>
          <w:highlight w:val="none"/>
        </w:rPr>
        <w:t xml:space="preserve">                             年  月  日</w:t>
      </w:r>
    </w:p>
    <w:p>
      <w:pPr>
        <w:adjustRightInd w:val="0"/>
        <w:snapToGrid w:val="0"/>
        <w:spacing w:line="480" w:lineRule="exact"/>
        <w:jc w:val="center"/>
        <w:rPr>
          <w:rFonts w:hint="eastAsia" w:ascii="宋体" w:hAnsi="宋体"/>
          <w:snapToGrid w:val="0"/>
          <w:color w:val="auto"/>
          <w:spacing w:val="8"/>
          <w:kern w:val="0"/>
          <w:sz w:val="24"/>
          <w:szCs w:val="24"/>
          <w:highlight w:val="none"/>
        </w:rPr>
      </w:pPr>
    </w:p>
    <w:p>
      <w:pPr>
        <w:adjustRightInd w:val="0"/>
        <w:snapToGrid w:val="0"/>
        <w:spacing w:line="480" w:lineRule="exact"/>
        <w:jc w:val="center"/>
        <w:rPr>
          <w:rFonts w:hint="eastAsia" w:ascii="宋体" w:hAnsi="宋体"/>
          <w:snapToGrid w:val="0"/>
          <w:color w:val="auto"/>
          <w:spacing w:val="8"/>
          <w:kern w:val="0"/>
          <w:sz w:val="24"/>
          <w:szCs w:val="24"/>
          <w:highlight w:val="none"/>
        </w:rPr>
      </w:pPr>
    </w:p>
    <w:p>
      <w:pPr>
        <w:adjustRightInd w:val="0"/>
        <w:snapToGrid w:val="0"/>
        <w:spacing w:line="480" w:lineRule="exact"/>
        <w:jc w:val="center"/>
        <w:rPr>
          <w:rFonts w:hint="eastAsia" w:ascii="宋体" w:hAnsi="宋体"/>
          <w:snapToGrid w:val="0"/>
          <w:color w:val="auto"/>
          <w:spacing w:val="8"/>
          <w:kern w:val="0"/>
          <w:sz w:val="24"/>
          <w:szCs w:val="24"/>
          <w:highlight w:val="none"/>
        </w:rPr>
      </w:pPr>
    </w:p>
    <w:p>
      <w:pPr>
        <w:adjustRightInd w:val="0"/>
        <w:snapToGrid w:val="0"/>
        <w:spacing w:line="480" w:lineRule="exact"/>
        <w:jc w:val="center"/>
        <w:rPr>
          <w:rFonts w:hint="eastAsia" w:ascii="宋体" w:hAnsi="宋体"/>
          <w:snapToGrid w:val="0"/>
          <w:color w:val="auto"/>
          <w:spacing w:val="8"/>
          <w:kern w:val="0"/>
          <w:sz w:val="24"/>
          <w:szCs w:val="24"/>
          <w:highlight w:val="none"/>
        </w:rPr>
      </w:pPr>
    </w:p>
    <w:p>
      <w:pPr>
        <w:adjustRightInd w:val="0"/>
        <w:snapToGrid w:val="0"/>
        <w:spacing w:line="480" w:lineRule="exact"/>
        <w:rPr>
          <w:rFonts w:hint="eastAsia" w:ascii="宋体" w:hAnsi="宋体"/>
          <w:snapToGrid w:val="0"/>
          <w:color w:val="auto"/>
          <w:spacing w:val="8"/>
          <w:kern w:val="0"/>
          <w:sz w:val="24"/>
          <w:highlight w:val="none"/>
        </w:rPr>
      </w:pPr>
    </w:p>
    <w:p>
      <w:pPr>
        <w:adjustRightInd w:val="0"/>
        <w:snapToGrid w:val="0"/>
        <w:spacing w:line="480" w:lineRule="exact"/>
        <w:jc w:val="center"/>
        <w:rPr>
          <w:rFonts w:ascii="宋体" w:hAnsi="宋体"/>
          <w:snapToGrid w:val="0"/>
          <w:color w:val="auto"/>
          <w:spacing w:val="8"/>
          <w:kern w:val="0"/>
          <w:sz w:val="24"/>
          <w:highlight w:val="none"/>
        </w:rPr>
      </w:pPr>
      <w:r>
        <w:rPr>
          <w:rFonts w:ascii="宋体" w:hAnsi="宋体"/>
          <w:snapToGrid w:val="0"/>
          <w:color w:val="auto"/>
          <w:spacing w:val="8"/>
          <w:kern w:val="0"/>
          <w:sz w:val="24"/>
          <w:highlight w:val="none"/>
        </w:rPr>
        <w:br w:type="page"/>
      </w:r>
      <w:r>
        <w:rPr>
          <w:rFonts w:hint="eastAsia" w:ascii="宋体" w:hAnsi="宋体"/>
          <w:b/>
          <w:snapToGrid w:val="0"/>
          <w:color w:val="auto"/>
          <w:spacing w:val="8"/>
          <w:kern w:val="0"/>
          <w:sz w:val="28"/>
          <w:highlight w:val="none"/>
        </w:rPr>
        <w:t>二、法定代表人</w:t>
      </w:r>
      <w:r>
        <w:rPr>
          <w:rFonts w:hint="eastAsia" w:ascii="宋体" w:hAnsi="宋体"/>
          <w:b/>
          <w:snapToGrid w:val="0"/>
          <w:color w:val="auto"/>
          <w:spacing w:val="8"/>
          <w:kern w:val="0"/>
          <w:sz w:val="28"/>
          <w:highlight w:val="none"/>
          <w:lang w:val="en-US" w:eastAsia="zh-CN"/>
        </w:rPr>
        <w:t>及</w:t>
      </w:r>
      <w:r>
        <w:rPr>
          <w:rFonts w:hint="eastAsia" w:ascii="宋体" w:hAnsi="宋体"/>
          <w:b/>
          <w:snapToGrid w:val="0"/>
          <w:color w:val="auto"/>
          <w:spacing w:val="8"/>
          <w:kern w:val="0"/>
          <w:sz w:val="28"/>
          <w:highlight w:val="none"/>
        </w:rPr>
        <w:t>其授权代表身份证复印件</w:t>
      </w:r>
    </w:p>
    <w:p>
      <w:pPr>
        <w:adjustRightInd w:val="0"/>
        <w:snapToGrid w:val="0"/>
        <w:spacing w:line="480" w:lineRule="exact"/>
        <w:rPr>
          <w:rFonts w:hint="eastAsia" w:ascii="宋体" w:hAnsi="宋体"/>
          <w:snapToGrid w:val="0"/>
          <w:color w:val="auto"/>
          <w:spacing w:val="8"/>
          <w:kern w:val="0"/>
          <w:sz w:val="24"/>
          <w:highlight w:val="none"/>
        </w:rPr>
      </w:pPr>
    </w:p>
    <w:p>
      <w:pPr>
        <w:adjustRightInd w:val="0"/>
        <w:snapToGrid w:val="0"/>
        <w:spacing w:line="480" w:lineRule="exact"/>
        <w:jc w:val="center"/>
        <w:rPr>
          <w:rFonts w:hint="eastAsia" w:ascii="宋体" w:hAnsi="宋体"/>
          <w:b/>
          <w:snapToGrid w:val="0"/>
          <w:color w:val="auto"/>
          <w:spacing w:val="8"/>
          <w:kern w:val="0"/>
          <w:sz w:val="28"/>
          <w:highlight w:val="none"/>
        </w:rPr>
      </w:pPr>
    </w:p>
    <w:p>
      <w:pPr>
        <w:adjustRightInd w:val="0"/>
        <w:snapToGrid w:val="0"/>
        <w:spacing w:line="480" w:lineRule="exact"/>
        <w:jc w:val="center"/>
        <w:rPr>
          <w:rFonts w:hint="eastAsia" w:ascii="宋体" w:hAnsi="宋体"/>
          <w:b/>
          <w:color w:val="auto"/>
          <w:spacing w:val="8"/>
          <w:sz w:val="28"/>
          <w:highlight w:val="none"/>
        </w:rPr>
      </w:pPr>
      <w:r>
        <w:rPr>
          <w:rFonts w:ascii="宋体" w:hAnsi="宋体"/>
          <w:b/>
          <w:snapToGrid w:val="0"/>
          <w:color w:val="auto"/>
          <w:spacing w:val="8"/>
          <w:kern w:val="0"/>
          <w:sz w:val="28"/>
          <w:highlight w:val="none"/>
        </w:rPr>
        <w:br w:type="page"/>
      </w:r>
      <w:r>
        <w:rPr>
          <w:rFonts w:hint="eastAsia" w:ascii="宋体" w:hAnsi="宋体"/>
          <w:b/>
          <w:color w:val="auto"/>
          <w:spacing w:val="8"/>
          <w:sz w:val="28"/>
          <w:highlight w:val="none"/>
        </w:rPr>
        <w:t>三</w:t>
      </w:r>
      <w:r>
        <w:rPr>
          <w:rFonts w:ascii="宋体" w:hAnsi="宋体"/>
          <w:b/>
          <w:color w:val="auto"/>
          <w:spacing w:val="8"/>
          <w:sz w:val="28"/>
          <w:highlight w:val="none"/>
        </w:rPr>
        <w:t>、</w:t>
      </w:r>
      <w:r>
        <w:rPr>
          <w:rFonts w:hint="eastAsia" w:ascii="宋体" w:hAnsi="宋体"/>
          <w:b/>
          <w:color w:val="auto"/>
          <w:spacing w:val="8"/>
          <w:sz w:val="28"/>
          <w:highlight w:val="none"/>
          <w:lang w:val="en-US" w:eastAsia="zh-CN"/>
        </w:rPr>
        <w:t>企业基本银行存款账户证明材料</w:t>
      </w:r>
    </w:p>
    <w:p>
      <w:pPr>
        <w:adjustRightInd w:val="0"/>
        <w:snapToGrid w:val="0"/>
        <w:spacing w:line="480" w:lineRule="exact"/>
        <w:jc w:val="center"/>
        <w:rPr>
          <w:rFonts w:hint="eastAsia" w:ascii="宋体" w:hAnsi="宋体"/>
          <w:b/>
          <w:color w:val="auto"/>
          <w:spacing w:val="8"/>
          <w:sz w:val="28"/>
          <w:highlight w:val="none"/>
        </w:rPr>
      </w:pPr>
      <w:r>
        <w:rPr>
          <w:rFonts w:ascii="宋体" w:hAnsi="宋体"/>
          <w:b/>
          <w:snapToGrid w:val="0"/>
          <w:color w:val="auto"/>
          <w:spacing w:val="8"/>
          <w:kern w:val="0"/>
          <w:sz w:val="28"/>
          <w:highlight w:val="none"/>
        </w:rPr>
        <w:br w:type="page"/>
      </w:r>
      <w:r>
        <w:rPr>
          <w:rFonts w:hint="eastAsia" w:ascii="宋体" w:hAnsi="宋体"/>
          <w:b/>
          <w:color w:val="auto"/>
          <w:spacing w:val="8"/>
          <w:sz w:val="28"/>
          <w:highlight w:val="none"/>
        </w:rPr>
        <w:t>四、投</w:t>
      </w:r>
      <w:r>
        <w:rPr>
          <w:rFonts w:ascii="宋体" w:hAnsi="宋体"/>
          <w:b/>
          <w:color w:val="auto"/>
          <w:spacing w:val="8"/>
          <w:sz w:val="28"/>
          <w:highlight w:val="none"/>
        </w:rPr>
        <w:t xml:space="preserve">  </w:t>
      </w:r>
      <w:r>
        <w:rPr>
          <w:rFonts w:hint="eastAsia" w:ascii="宋体" w:hAnsi="宋体"/>
          <w:b/>
          <w:color w:val="auto"/>
          <w:spacing w:val="8"/>
          <w:sz w:val="28"/>
          <w:highlight w:val="none"/>
        </w:rPr>
        <w:t>标</w:t>
      </w:r>
      <w:r>
        <w:rPr>
          <w:rFonts w:ascii="宋体" w:hAnsi="宋体"/>
          <w:b/>
          <w:color w:val="auto"/>
          <w:spacing w:val="8"/>
          <w:sz w:val="28"/>
          <w:highlight w:val="none"/>
        </w:rPr>
        <w:t xml:space="preserve">  </w:t>
      </w:r>
      <w:r>
        <w:rPr>
          <w:rFonts w:hint="eastAsia" w:ascii="宋体" w:hAnsi="宋体"/>
          <w:b/>
          <w:color w:val="auto"/>
          <w:spacing w:val="8"/>
          <w:sz w:val="28"/>
          <w:highlight w:val="none"/>
        </w:rPr>
        <w:t>函</w:t>
      </w:r>
    </w:p>
    <w:p>
      <w:pPr>
        <w:adjustRightInd w:val="0"/>
        <w:snapToGrid w:val="0"/>
        <w:spacing w:line="480" w:lineRule="exact"/>
        <w:jc w:val="center"/>
        <w:rPr>
          <w:rFonts w:hint="eastAsia" w:ascii="宋体" w:hAnsi="宋体"/>
          <w:b/>
          <w:color w:val="auto"/>
          <w:spacing w:val="8"/>
          <w:sz w:val="28"/>
          <w:highlight w:val="none"/>
        </w:rPr>
      </w:pPr>
    </w:p>
    <w:p>
      <w:pPr>
        <w:spacing w:line="360" w:lineRule="auto"/>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（采购人名称）：</w:t>
      </w:r>
    </w:p>
    <w:p>
      <w:pPr>
        <w:spacing w:line="360" w:lineRule="auto"/>
        <w:jc w:val="left"/>
        <w:rPr>
          <w:rFonts w:hint="eastAsia" w:ascii="宋体" w:hAnsi="宋体"/>
          <w:color w:val="auto"/>
          <w:sz w:val="24"/>
          <w:szCs w:val="24"/>
          <w:highlight w:val="none"/>
          <w:u w:val="single"/>
        </w:rPr>
      </w:pPr>
    </w:p>
    <w:p>
      <w:pPr>
        <w:adjustRightInd w:val="0"/>
        <w:snapToGrid w:val="0"/>
        <w:spacing w:line="360" w:lineRule="auto"/>
        <w:ind w:firstLine="420"/>
        <w:rPr>
          <w:rFonts w:ascii="宋体" w:hAnsi="宋体"/>
          <w:snapToGrid w:val="0"/>
          <w:color w:val="auto"/>
          <w:spacing w:val="8"/>
          <w:kern w:val="0"/>
          <w:sz w:val="24"/>
          <w:highlight w:val="none"/>
        </w:rPr>
      </w:pPr>
      <w:r>
        <w:rPr>
          <w:rFonts w:hint="eastAsia" w:ascii="宋体" w:hAnsi="宋体"/>
          <w:snapToGrid w:val="0"/>
          <w:color w:val="auto"/>
          <w:spacing w:val="8"/>
          <w:kern w:val="0"/>
          <w:sz w:val="24"/>
          <w:highlight w:val="none"/>
        </w:rPr>
        <w:t>我们收到贵方</w:t>
      </w:r>
      <w:r>
        <w:rPr>
          <w:rFonts w:ascii="宋体" w:hAnsi="宋体"/>
          <w:snapToGrid w:val="0"/>
          <w:color w:val="auto"/>
          <w:spacing w:val="8"/>
          <w:kern w:val="0"/>
          <w:sz w:val="24"/>
          <w:highlight w:val="none"/>
        </w:rPr>
        <w:t xml:space="preserve"> </w:t>
      </w:r>
      <w:r>
        <w:rPr>
          <w:rFonts w:ascii="宋体" w:hAnsi="宋体"/>
          <w:snapToGrid w:val="0"/>
          <w:color w:val="auto"/>
          <w:spacing w:val="8"/>
          <w:kern w:val="0"/>
          <w:sz w:val="24"/>
          <w:highlight w:val="none"/>
          <w:u w:val="single"/>
        </w:rPr>
        <w:t xml:space="preserve">     </w:t>
      </w:r>
      <w:r>
        <w:rPr>
          <w:rFonts w:hint="eastAsia" w:ascii="宋体" w:hAnsi="宋体"/>
          <w:snapToGrid w:val="0"/>
          <w:color w:val="auto"/>
          <w:spacing w:val="8"/>
          <w:kern w:val="0"/>
          <w:sz w:val="24"/>
          <w:highlight w:val="none"/>
          <w:u w:val="single"/>
        </w:rPr>
        <w:t>（项目名称）</w:t>
      </w:r>
      <w:r>
        <w:rPr>
          <w:rFonts w:ascii="宋体" w:hAnsi="宋体"/>
          <w:snapToGrid w:val="0"/>
          <w:color w:val="auto"/>
          <w:spacing w:val="8"/>
          <w:kern w:val="0"/>
          <w:sz w:val="24"/>
          <w:highlight w:val="none"/>
          <w:u w:val="single"/>
        </w:rPr>
        <w:t xml:space="preserve">       </w:t>
      </w:r>
      <w:r>
        <w:rPr>
          <w:rFonts w:hint="eastAsia" w:ascii="宋体" w:hAnsi="宋体"/>
          <w:snapToGrid w:val="0"/>
          <w:color w:val="auto"/>
          <w:spacing w:val="8"/>
          <w:kern w:val="0"/>
          <w:sz w:val="24"/>
          <w:highlight w:val="none"/>
        </w:rPr>
        <w:t>招标文件，经详细研究，我们决定参加</w:t>
      </w:r>
      <w:r>
        <w:rPr>
          <w:rFonts w:hint="eastAsia" w:ascii="宋体" w:hAnsi="宋体"/>
          <w:snapToGrid w:val="0"/>
          <w:color w:val="auto"/>
          <w:spacing w:val="8"/>
          <w:kern w:val="0"/>
          <w:sz w:val="24"/>
          <w:highlight w:val="none"/>
          <w:u w:val="single"/>
        </w:rPr>
        <w:t>（项目名称）</w:t>
      </w:r>
      <w:r>
        <w:rPr>
          <w:rFonts w:hint="eastAsia" w:ascii="宋体" w:hAnsi="宋体"/>
          <w:b/>
          <w:color w:val="auto"/>
          <w:sz w:val="24"/>
          <w:szCs w:val="24"/>
          <w:highlight w:val="none"/>
          <w:u w:val="single"/>
        </w:rPr>
        <w:t xml:space="preserve"> </w:t>
      </w:r>
      <w:r>
        <w:rPr>
          <w:rFonts w:hint="eastAsia" w:ascii="宋体" w:hAnsi="宋体"/>
          <w:snapToGrid w:val="0"/>
          <w:color w:val="auto"/>
          <w:spacing w:val="-10"/>
          <w:kern w:val="0"/>
          <w:sz w:val="24"/>
          <w:highlight w:val="none"/>
        </w:rPr>
        <w:t>的投标</w:t>
      </w:r>
      <w:r>
        <w:rPr>
          <w:rFonts w:hint="eastAsia" w:ascii="宋体" w:hAnsi="宋体"/>
          <w:snapToGrid w:val="0"/>
          <w:color w:val="auto"/>
          <w:spacing w:val="8"/>
          <w:kern w:val="0"/>
          <w:sz w:val="24"/>
          <w:highlight w:val="none"/>
        </w:rPr>
        <w:t>。并授权</w:t>
      </w:r>
      <w:r>
        <w:rPr>
          <w:rFonts w:ascii="宋体" w:hAnsi="宋体"/>
          <w:snapToGrid w:val="0"/>
          <w:color w:val="auto"/>
          <w:spacing w:val="8"/>
          <w:kern w:val="0"/>
          <w:sz w:val="24"/>
          <w:highlight w:val="none"/>
          <w:u w:val="single"/>
        </w:rPr>
        <w:t xml:space="preserve">  </w:t>
      </w:r>
      <w:r>
        <w:rPr>
          <w:rFonts w:hint="eastAsia" w:ascii="宋体" w:hAnsi="宋体"/>
          <w:snapToGrid w:val="0"/>
          <w:color w:val="auto"/>
          <w:spacing w:val="8"/>
          <w:kern w:val="0"/>
          <w:sz w:val="24"/>
          <w:highlight w:val="none"/>
          <w:u w:val="single"/>
          <w:lang w:val="en-US" w:eastAsia="zh-CN"/>
        </w:rPr>
        <w:t xml:space="preserve">  </w:t>
      </w:r>
      <w:r>
        <w:rPr>
          <w:rFonts w:ascii="宋体" w:hAnsi="宋体"/>
          <w:snapToGrid w:val="0"/>
          <w:color w:val="auto"/>
          <w:spacing w:val="8"/>
          <w:kern w:val="0"/>
          <w:sz w:val="24"/>
          <w:highlight w:val="none"/>
          <w:u w:val="single"/>
        </w:rPr>
        <w:t xml:space="preserve">  </w:t>
      </w:r>
      <w:r>
        <w:rPr>
          <w:rFonts w:hint="eastAsia" w:ascii="宋体" w:hAnsi="宋体"/>
          <w:snapToGrid w:val="0"/>
          <w:color w:val="auto"/>
          <w:spacing w:val="8"/>
          <w:kern w:val="0"/>
          <w:sz w:val="24"/>
          <w:highlight w:val="none"/>
        </w:rPr>
        <w:t>（姓名、职务、职称），全权代表</w:t>
      </w:r>
      <w:r>
        <w:rPr>
          <w:rFonts w:hint="eastAsia" w:ascii="宋体" w:hAnsi="宋体"/>
          <w:snapToGrid w:val="0"/>
          <w:color w:val="auto"/>
          <w:spacing w:val="8"/>
          <w:kern w:val="0"/>
          <w:sz w:val="24"/>
          <w:highlight w:val="none"/>
          <w:u w:val="single"/>
        </w:rPr>
        <w:t xml:space="preserve">       </w:t>
      </w:r>
      <w:r>
        <w:rPr>
          <w:rFonts w:hint="eastAsia" w:ascii="宋体" w:hAnsi="宋体"/>
          <w:snapToGrid w:val="0"/>
          <w:color w:val="auto"/>
          <w:spacing w:val="8"/>
          <w:kern w:val="0"/>
          <w:sz w:val="24"/>
          <w:highlight w:val="none"/>
        </w:rPr>
        <w:t>（投标人）提交下述文件</w:t>
      </w:r>
      <w:r>
        <w:rPr>
          <w:rFonts w:hint="eastAsia" w:ascii="宋体" w:hAnsi="宋体"/>
          <w:snapToGrid w:val="0"/>
          <w:color w:val="auto"/>
          <w:spacing w:val="8"/>
          <w:kern w:val="0"/>
          <w:sz w:val="24"/>
          <w:highlight w:val="none"/>
          <w:lang w:val="en-US" w:eastAsia="zh-CN"/>
        </w:rPr>
        <w:t>电子版</w:t>
      </w:r>
      <w:r>
        <w:rPr>
          <w:rFonts w:hint="eastAsia" w:ascii="宋体" w:hAnsi="宋体"/>
          <w:snapToGrid w:val="0"/>
          <w:color w:val="auto"/>
          <w:spacing w:val="8"/>
          <w:kern w:val="0"/>
          <w:sz w:val="24"/>
          <w:highlight w:val="none"/>
          <w:lang w:eastAsia="zh-CN"/>
        </w:rPr>
        <w:t>一</w:t>
      </w:r>
      <w:r>
        <w:rPr>
          <w:rFonts w:hint="eastAsia" w:ascii="宋体" w:hAnsi="宋体"/>
          <w:snapToGrid w:val="0"/>
          <w:color w:val="auto"/>
          <w:spacing w:val="8"/>
          <w:kern w:val="0"/>
          <w:sz w:val="24"/>
          <w:highlight w:val="none"/>
        </w:rPr>
        <w:t>份。并同时宣布愿意遵守下列条款：</w:t>
      </w:r>
    </w:p>
    <w:p>
      <w:pPr>
        <w:adjustRightInd w:val="0"/>
        <w:snapToGrid w:val="0"/>
        <w:spacing w:line="360" w:lineRule="auto"/>
        <w:jc w:val="left"/>
        <w:rPr>
          <w:rFonts w:hint="eastAsia" w:ascii="宋体" w:hAnsi="宋体"/>
          <w:b/>
          <w:color w:val="auto"/>
          <w:sz w:val="24"/>
          <w:szCs w:val="24"/>
          <w:highlight w:val="none"/>
          <w:u w:val="single"/>
        </w:rPr>
      </w:pPr>
      <w:r>
        <w:rPr>
          <w:rFonts w:hint="eastAsia" w:ascii="宋体" w:hAnsi="宋体"/>
          <w:snapToGrid w:val="0"/>
          <w:color w:val="auto"/>
          <w:spacing w:val="8"/>
          <w:kern w:val="0"/>
          <w:sz w:val="24"/>
          <w:highlight w:val="none"/>
        </w:rPr>
        <w:t xml:space="preserve">   1)承认和愿意按照招标文件中的各项规定和要求，</w:t>
      </w:r>
      <w:r>
        <w:rPr>
          <w:rFonts w:hint="eastAsia" w:ascii="宋体" w:hAnsi="宋体"/>
          <w:color w:val="auto"/>
          <w:sz w:val="24"/>
          <w:szCs w:val="24"/>
          <w:highlight w:val="none"/>
        </w:rPr>
        <w:t>按照招标文件要求提供</w:t>
      </w:r>
      <w:r>
        <w:rPr>
          <w:rFonts w:hint="eastAsia" w:ascii="宋体" w:hAnsi="宋体"/>
          <w:b/>
          <w:color w:val="auto"/>
          <w:sz w:val="24"/>
          <w:szCs w:val="24"/>
          <w:highlight w:val="none"/>
          <w:u w:val="single"/>
        </w:rPr>
        <w:t xml:space="preserve">  （项目名称）</w:t>
      </w:r>
      <w:r>
        <w:rPr>
          <w:rFonts w:hint="eastAsia" w:ascii="宋体" w:hAnsi="宋体"/>
          <w:color w:val="auto"/>
          <w:sz w:val="24"/>
          <w:szCs w:val="24"/>
          <w:highlight w:val="none"/>
        </w:rPr>
        <w:t>的供货及售后服务</w:t>
      </w:r>
      <w:r>
        <w:rPr>
          <w:rFonts w:hint="eastAsia" w:ascii="宋体" w:hAnsi="宋体"/>
          <w:snapToGrid w:val="0"/>
          <w:color w:val="auto"/>
          <w:spacing w:val="8"/>
          <w:kern w:val="0"/>
          <w:sz w:val="24"/>
          <w:szCs w:val="24"/>
          <w:highlight w:val="none"/>
        </w:rPr>
        <w:t xml:space="preserve">。 </w:t>
      </w:r>
    </w:p>
    <w:p>
      <w:pPr>
        <w:adjustRightInd w:val="0"/>
        <w:snapToGrid w:val="0"/>
        <w:spacing w:line="360" w:lineRule="auto"/>
        <w:ind w:firstLine="384" w:firstLineChars="150"/>
        <w:rPr>
          <w:rFonts w:ascii="宋体" w:hAnsi="宋体"/>
          <w:snapToGrid w:val="0"/>
          <w:color w:val="auto"/>
          <w:spacing w:val="8"/>
          <w:kern w:val="0"/>
          <w:sz w:val="24"/>
          <w:highlight w:val="none"/>
        </w:rPr>
      </w:pPr>
      <w:r>
        <w:rPr>
          <w:rFonts w:hint="eastAsia" w:ascii="宋体" w:hAnsi="宋体"/>
          <w:snapToGrid w:val="0"/>
          <w:color w:val="auto"/>
          <w:spacing w:val="8"/>
          <w:kern w:val="0"/>
          <w:sz w:val="24"/>
          <w:highlight w:val="none"/>
        </w:rPr>
        <w:t>投标总价：（大写）</w:t>
      </w:r>
      <w:r>
        <w:rPr>
          <w:rFonts w:hint="eastAsia" w:ascii="宋体" w:hAnsi="宋体"/>
          <w:snapToGrid w:val="0"/>
          <w:color w:val="auto"/>
          <w:spacing w:val="8"/>
          <w:kern w:val="0"/>
          <w:sz w:val="24"/>
          <w:highlight w:val="none"/>
          <w:u w:val="single"/>
        </w:rPr>
        <w:t xml:space="preserve">       </w:t>
      </w:r>
      <w:r>
        <w:rPr>
          <w:rFonts w:ascii="宋体" w:hAnsi="宋体"/>
          <w:snapToGrid w:val="0"/>
          <w:color w:val="auto"/>
          <w:spacing w:val="8"/>
          <w:kern w:val="0"/>
          <w:sz w:val="24"/>
          <w:highlight w:val="none"/>
        </w:rPr>
        <w:t>(</w:t>
      </w:r>
      <w:r>
        <w:rPr>
          <w:rFonts w:hint="eastAsia" w:ascii="宋体" w:hAnsi="宋体"/>
          <w:snapToGrid w:val="0"/>
          <w:color w:val="auto"/>
          <w:spacing w:val="8"/>
          <w:kern w:val="0"/>
          <w:sz w:val="24"/>
          <w:highlight w:val="none"/>
        </w:rPr>
        <w:t>小写¥</w:t>
      </w:r>
      <w:r>
        <w:rPr>
          <w:rFonts w:ascii="宋体" w:hAnsi="宋体"/>
          <w:snapToGrid w:val="0"/>
          <w:color w:val="auto"/>
          <w:spacing w:val="8"/>
          <w:kern w:val="0"/>
          <w:sz w:val="24"/>
          <w:highlight w:val="none"/>
          <w:u w:val="single"/>
        </w:rPr>
        <w:t xml:space="preserve">      </w:t>
      </w:r>
      <w:r>
        <w:rPr>
          <w:rFonts w:ascii="宋体" w:hAnsi="宋体"/>
          <w:snapToGrid w:val="0"/>
          <w:color w:val="auto"/>
          <w:spacing w:val="8"/>
          <w:kern w:val="0"/>
          <w:sz w:val="24"/>
          <w:highlight w:val="none"/>
        </w:rPr>
        <w:t>)</w:t>
      </w:r>
      <w:r>
        <w:rPr>
          <w:rFonts w:hint="eastAsia" w:ascii="宋体" w:hAnsi="宋体"/>
          <w:snapToGrid w:val="0"/>
          <w:color w:val="auto"/>
          <w:spacing w:val="8"/>
          <w:kern w:val="0"/>
          <w:sz w:val="24"/>
          <w:highlight w:val="none"/>
        </w:rPr>
        <w:t>，供货期</w:t>
      </w:r>
      <w:r>
        <w:rPr>
          <w:rFonts w:hint="eastAsia" w:ascii="宋体" w:hAnsi="宋体"/>
          <w:snapToGrid w:val="0"/>
          <w:color w:val="auto"/>
          <w:spacing w:val="8"/>
          <w:kern w:val="0"/>
          <w:sz w:val="24"/>
          <w:highlight w:val="none"/>
          <w:u w:val="single"/>
        </w:rPr>
        <w:t xml:space="preserve">     </w:t>
      </w:r>
      <w:r>
        <w:rPr>
          <w:rFonts w:hint="eastAsia" w:ascii="宋体" w:hAnsi="宋体"/>
          <w:snapToGrid w:val="0"/>
          <w:color w:val="auto"/>
          <w:spacing w:val="8"/>
          <w:kern w:val="0"/>
          <w:sz w:val="24"/>
          <w:highlight w:val="none"/>
        </w:rPr>
        <w:t>，质量标准</w:t>
      </w:r>
      <w:r>
        <w:rPr>
          <w:rFonts w:hint="eastAsia" w:ascii="宋体" w:hAnsi="宋体"/>
          <w:snapToGrid w:val="0"/>
          <w:color w:val="auto"/>
          <w:spacing w:val="8"/>
          <w:kern w:val="0"/>
          <w:sz w:val="24"/>
          <w:highlight w:val="none"/>
          <w:u w:val="single"/>
        </w:rPr>
        <w:t xml:space="preserve">     </w:t>
      </w:r>
      <w:r>
        <w:rPr>
          <w:rFonts w:hint="eastAsia" w:ascii="宋体" w:hAnsi="宋体"/>
          <w:snapToGrid w:val="0"/>
          <w:color w:val="auto"/>
          <w:spacing w:val="8"/>
          <w:kern w:val="0"/>
          <w:sz w:val="24"/>
          <w:highlight w:val="none"/>
        </w:rPr>
        <w:t>。</w:t>
      </w:r>
    </w:p>
    <w:p>
      <w:pPr>
        <w:tabs>
          <w:tab w:val="left" w:pos="0"/>
        </w:tabs>
        <w:adjustRightInd w:val="0"/>
        <w:snapToGrid w:val="0"/>
        <w:spacing w:line="360" w:lineRule="auto"/>
        <w:ind w:firstLine="420"/>
        <w:rPr>
          <w:rFonts w:hint="eastAsia" w:ascii="宋体" w:hAnsi="宋体"/>
          <w:snapToGrid w:val="0"/>
          <w:color w:val="auto"/>
          <w:spacing w:val="8"/>
          <w:kern w:val="0"/>
          <w:sz w:val="24"/>
          <w:highlight w:val="none"/>
        </w:rPr>
      </w:pPr>
      <w:r>
        <w:rPr>
          <w:rFonts w:ascii="宋体" w:hAnsi="宋体"/>
          <w:snapToGrid w:val="0"/>
          <w:color w:val="auto"/>
          <w:spacing w:val="8"/>
          <w:kern w:val="0"/>
          <w:sz w:val="24"/>
          <w:highlight w:val="none"/>
        </w:rPr>
        <w:t>2)</w:t>
      </w:r>
      <w:r>
        <w:rPr>
          <w:rFonts w:hint="eastAsia" w:ascii="宋体" w:hAnsi="宋体"/>
          <w:snapToGrid w:val="0"/>
          <w:color w:val="auto"/>
          <w:spacing w:val="8"/>
          <w:kern w:val="0"/>
          <w:sz w:val="24"/>
          <w:highlight w:val="none"/>
        </w:rPr>
        <w:t>愿意按照《中华人民共和国</w:t>
      </w:r>
      <w:r>
        <w:rPr>
          <w:rFonts w:hint="eastAsia" w:ascii="宋体" w:hAnsi="宋体"/>
          <w:snapToGrid w:val="0"/>
          <w:color w:val="auto"/>
          <w:spacing w:val="8"/>
          <w:kern w:val="0"/>
          <w:sz w:val="24"/>
          <w:highlight w:val="none"/>
          <w:lang w:eastAsia="zh-CN"/>
        </w:rPr>
        <w:t>民法典</w:t>
      </w:r>
      <w:r>
        <w:rPr>
          <w:rFonts w:hint="eastAsia" w:ascii="宋体" w:hAnsi="宋体"/>
          <w:snapToGrid w:val="0"/>
          <w:color w:val="auto"/>
          <w:spacing w:val="8"/>
          <w:kern w:val="0"/>
          <w:sz w:val="24"/>
          <w:highlight w:val="none"/>
        </w:rPr>
        <w:t>》、《中华人民共和国政府采购法》履行自己的责任和义务。</w:t>
      </w:r>
    </w:p>
    <w:p>
      <w:pPr>
        <w:tabs>
          <w:tab w:val="left" w:pos="0"/>
        </w:tabs>
        <w:adjustRightInd w:val="0"/>
        <w:snapToGrid w:val="0"/>
        <w:spacing w:line="360" w:lineRule="auto"/>
        <w:ind w:firstLine="420"/>
        <w:rPr>
          <w:rFonts w:ascii="宋体" w:hAnsi="宋体"/>
          <w:snapToGrid w:val="0"/>
          <w:color w:val="auto"/>
          <w:spacing w:val="8"/>
          <w:kern w:val="0"/>
          <w:sz w:val="24"/>
          <w:highlight w:val="none"/>
        </w:rPr>
      </w:pPr>
      <w:r>
        <w:rPr>
          <w:rFonts w:ascii="宋体" w:hAnsi="宋体"/>
          <w:snapToGrid w:val="0"/>
          <w:color w:val="auto"/>
          <w:spacing w:val="8"/>
          <w:kern w:val="0"/>
          <w:sz w:val="24"/>
          <w:highlight w:val="none"/>
        </w:rPr>
        <w:t>3)</w:t>
      </w:r>
      <w:r>
        <w:rPr>
          <w:rFonts w:hint="eastAsia" w:ascii="宋体" w:hAnsi="宋体"/>
          <w:snapToGrid w:val="0"/>
          <w:color w:val="auto"/>
          <w:spacing w:val="8"/>
          <w:kern w:val="0"/>
          <w:sz w:val="24"/>
          <w:highlight w:val="none"/>
        </w:rPr>
        <w:t>如果我们投标文件被接受，我们将履行招标文件中规定的每一项要求，按期、按质、按量完成任务。</w:t>
      </w:r>
    </w:p>
    <w:p>
      <w:pPr>
        <w:tabs>
          <w:tab w:val="left" w:pos="0"/>
        </w:tabs>
        <w:adjustRightInd w:val="0"/>
        <w:snapToGrid w:val="0"/>
        <w:spacing w:line="360" w:lineRule="auto"/>
        <w:ind w:firstLine="420"/>
        <w:rPr>
          <w:rFonts w:ascii="宋体" w:hAnsi="宋体"/>
          <w:snapToGrid w:val="0"/>
          <w:color w:val="auto"/>
          <w:spacing w:val="8"/>
          <w:kern w:val="0"/>
          <w:sz w:val="24"/>
          <w:highlight w:val="none"/>
        </w:rPr>
      </w:pPr>
      <w:r>
        <w:rPr>
          <w:rFonts w:ascii="宋体" w:hAnsi="宋体"/>
          <w:snapToGrid w:val="0"/>
          <w:color w:val="auto"/>
          <w:spacing w:val="8"/>
          <w:kern w:val="0"/>
          <w:sz w:val="24"/>
          <w:highlight w:val="none"/>
        </w:rPr>
        <w:t>4)</w:t>
      </w:r>
      <w:r>
        <w:rPr>
          <w:rFonts w:hint="eastAsia" w:ascii="宋体" w:hAnsi="宋体"/>
          <w:snapToGrid w:val="0"/>
          <w:color w:val="auto"/>
          <w:spacing w:val="8"/>
          <w:kern w:val="0"/>
          <w:sz w:val="24"/>
          <w:highlight w:val="none"/>
        </w:rPr>
        <w:t>我们愿意提供采购人在招标文件中要求的所有资料。</w:t>
      </w:r>
    </w:p>
    <w:p>
      <w:pPr>
        <w:tabs>
          <w:tab w:val="left" w:pos="0"/>
        </w:tabs>
        <w:adjustRightInd w:val="0"/>
        <w:snapToGrid w:val="0"/>
        <w:spacing w:line="360" w:lineRule="auto"/>
        <w:ind w:firstLine="420"/>
        <w:rPr>
          <w:rFonts w:ascii="宋体" w:hAnsi="宋体"/>
          <w:snapToGrid w:val="0"/>
          <w:color w:val="auto"/>
          <w:spacing w:val="8"/>
          <w:kern w:val="0"/>
          <w:sz w:val="24"/>
          <w:highlight w:val="none"/>
        </w:rPr>
      </w:pPr>
      <w:r>
        <w:rPr>
          <w:rFonts w:ascii="宋体" w:hAnsi="宋体"/>
          <w:snapToGrid w:val="0"/>
          <w:color w:val="auto"/>
          <w:spacing w:val="8"/>
          <w:kern w:val="0"/>
          <w:sz w:val="24"/>
          <w:highlight w:val="none"/>
        </w:rPr>
        <w:t>5)</w:t>
      </w:r>
      <w:r>
        <w:rPr>
          <w:rFonts w:hint="eastAsia" w:ascii="宋体" w:hAnsi="宋体"/>
          <w:snapToGrid w:val="0"/>
          <w:color w:val="auto"/>
          <w:spacing w:val="8"/>
          <w:kern w:val="0"/>
          <w:sz w:val="24"/>
          <w:highlight w:val="none"/>
        </w:rPr>
        <w:t>我们理解，最低报价不是中标的唯一条件。</w:t>
      </w:r>
    </w:p>
    <w:p>
      <w:pPr>
        <w:tabs>
          <w:tab w:val="left" w:pos="0"/>
        </w:tabs>
        <w:adjustRightInd w:val="0"/>
        <w:snapToGrid w:val="0"/>
        <w:spacing w:line="360" w:lineRule="auto"/>
        <w:ind w:firstLine="420"/>
        <w:rPr>
          <w:rFonts w:ascii="宋体" w:hAnsi="宋体"/>
          <w:snapToGrid w:val="0"/>
          <w:color w:val="auto"/>
          <w:spacing w:val="8"/>
          <w:kern w:val="0"/>
          <w:sz w:val="24"/>
          <w:highlight w:val="none"/>
        </w:rPr>
      </w:pPr>
      <w:r>
        <w:rPr>
          <w:rFonts w:ascii="宋体" w:hAnsi="宋体"/>
          <w:snapToGrid w:val="0"/>
          <w:color w:val="auto"/>
          <w:spacing w:val="8"/>
          <w:kern w:val="0"/>
          <w:sz w:val="24"/>
          <w:highlight w:val="none"/>
        </w:rPr>
        <w:t>6)</w:t>
      </w:r>
      <w:r>
        <w:rPr>
          <w:rFonts w:hint="eastAsia" w:ascii="宋体" w:hAnsi="宋体"/>
          <w:snapToGrid w:val="0"/>
          <w:color w:val="auto"/>
          <w:spacing w:val="8"/>
          <w:kern w:val="0"/>
          <w:sz w:val="24"/>
          <w:highlight w:val="none"/>
        </w:rPr>
        <w:t>我们同意按招标文件规定，遵守招标文件的各项规定。</w:t>
      </w:r>
    </w:p>
    <w:p>
      <w:pPr>
        <w:tabs>
          <w:tab w:val="left" w:pos="0"/>
        </w:tabs>
        <w:adjustRightInd w:val="0"/>
        <w:snapToGrid w:val="0"/>
        <w:spacing w:line="360" w:lineRule="auto"/>
        <w:ind w:firstLine="420"/>
        <w:rPr>
          <w:rFonts w:ascii="宋体" w:hAnsi="宋体"/>
          <w:snapToGrid w:val="0"/>
          <w:color w:val="auto"/>
          <w:spacing w:val="8"/>
          <w:kern w:val="0"/>
          <w:sz w:val="24"/>
          <w:highlight w:val="none"/>
        </w:rPr>
      </w:pPr>
      <w:r>
        <w:rPr>
          <w:rFonts w:ascii="宋体" w:hAnsi="宋体"/>
          <w:snapToGrid w:val="0"/>
          <w:color w:val="auto"/>
          <w:spacing w:val="8"/>
          <w:kern w:val="0"/>
          <w:sz w:val="24"/>
          <w:highlight w:val="none"/>
        </w:rPr>
        <w:t>7)</w:t>
      </w:r>
      <w:r>
        <w:rPr>
          <w:rFonts w:hint="eastAsia" w:ascii="宋体" w:hAnsi="宋体"/>
          <w:snapToGrid w:val="0"/>
          <w:color w:val="auto"/>
          <w:spacing w:val="8"/>
          <w:kern w:val="0"/>
          <w:sz w:val="24"/>
          <w:highlight w:val="none"/>
        </w:rPr>
        <w:t>我方的</w:t>
      </w:r>
      <w:r>
        <w:rPr>
          <w:rFonts w:hint="eastAsia" w:ascii="宋体" w:hAnsi="宋体"/>
          <w:snapToGrid w:val="0"/>
          <w:color w:val="auto"/>
          <w:spacing w:val="8"/>
          <w:kern w:val="0"/>
          <w:sz w:val="24"/>
          <w:highlight w:val="none"/>
          <w:lang w:eastAsia="zh-CN"/>
        </w:rPr>
        <w:t>投标文件</w:t>
      </w:r>
      <w:r>
        <w:rPr>
          <w:rFonts w:hint="eastAsia" w:ascii="宋体" w:hAnsi="宋体"/>
          <w:snapToGrid w:val="0"/>
          <w:color w:val="auto"/>
          <w:spacing w:val="8"/>
          <w:kern w:val="0"/>
          <w:sz w:val="24"/>
          <w:highlight w:val="none"/>
        </w:rPr>
        <w:t>在开标后</w:t>
      </w:r>
      <w:r>
        <w:rPr>
          <w:rFonts w:hint="eastAsia" w:ascii="宋体" w:hAnsi="宋体"/>
          <w:snapToGrid w:val="0"/>
          <w:color w:val="auto"/>
          <w:spacing w:val="8"/>
          <w:kern w:val="0"/>
          <w:sz w:val="24"/>
          <w:highlight w:val="none"/>
          <w:u w:val="single"/>
          <w:lang w:val="en-US" w:eastAsia="zh-CN"/>
        </w:rPr>
        <w:t xml:space="preserve">   </w:t>
      </w:r>
      <w:r>
        <w:rPr>
          <w:rFonts w:hint="eastAsia" w:ascii="宋体" w:hAnsi="宋体"/>
          <w:snapToGrid w:val="0"/>
          <w:color w:val="auto"/>
          <w:spacing w:val="8"/>
          <w:kern w:val="0"/>
          <w:sz w:val="24"/>
          <w:highlight w:val="none"/>
        </w:rPr>
        <w:t>天内有效。</w:t>
      </w:r>
    </w:p>
    <w:p>
      <w:pPr>
        <w:adjustRightInd w:val="0"/>
        <w:snapToGrid w:val="0"/>
        <w:spacing w:line="480" w:lineRule="exact"/>
        <w:rPr>
          <w:rFonts w:hint="eastAsia" w:ascii="宋体" w:hAnsi="宋体"/>
          <w:snapToGrid w:val="0"/>
          <w:color w:val="auto"/>
          <w:spacing w:val="8"/>
          <w:kern w:val="0"/>
          <w:sz w:val="24"/>
          <w:highlight w:val="none"/>
        </w:rPr>
      </w:pPr>
    </w:p>
    <w:p>
      <w:pPr>
        <w:adjustRightInd w:val="0"/>
        <w:snapToGrid w:val="0"/>
        <w:spacing w:line="480" w:lineRule="exact"/>
        <w:rPr>
          <w:rFonts w:hint="eastAsia" w:ascii="宋体" w:hAnsi="宋体"/>
          <w:snapToGrid w:val="0"/>
          <w:color w:val="auto"/>
          <w:spacing w:val="8"/>
          <w:kern w:val="0"/>
          <w:sz w:val="24"/>
          <w:highlight w:val="none"/>
        </w:rPr>
      </w:pPr>
    </w:p>
    <w:p>
      <w:pPr>
        <w:adjustRightInd w:val="0"/>
        <w:snapToGrid w:val="0"/>
        <w:spacing w:line="480" w:lineRule="exact"/>
        <w:rPr>
          <w:rFonts w:hint="eastAsia" w:ascii="宋体" w:hAnsi="宋体"/>
          <w:snapToGrid w:val="0"/>
          <w:color w:val="auto"/>
          <w:spacing w:val="8"/>
          <w:kern w:val="0"/>
          <w:sz w:val="24"/>
          <w:highlight w:val="none"/>
        </w:rPr>
      </w:pPr>
      <w:r>
        <w:rPr>
          <w:rFonts w:hint="eastAsia" w:ascii="宋体" w:hAnsi="宋体"/>
          <w:snapToGrid w:val="0"/>
          <w:color w:val="auto"/>
          <w:spacing w:val="8"/>
          <w:kern w:val="0"/>
          <w:sz w:val="24"/>
          <w:highlight w:val="none"/>
        </w:rPr>
        <w:t xml:space="preserve">投标人：（公章）    </w:t>
      </w:r>
      <w:r>
        <w:rPr>
          <w:rFonts w:hint="eastAsia" w:ascii="宋体" w:hAnsi="宋体"/>
          <w:snapToGrid w:val="0"/>
          <w:color w:val="auto"/>
          <w:spacing w:val="8"/>
          <w:kern w:val="0"/>
          <w:sz w:val="24"/>
          <w:highlight w:val="none"/>
          <w:lang w:val="en-US" w:eastAsia="zh-CN"/>
        </w:rPr>
        <w:t xml:space="preserve">   </w:t>
      </w:r>
      <w:r>
        <w:rPr>
          <w:rFonts w:hint="eastAsia" w:ascii="宋体" w:hAnsi="宋体"/>
          <w:snapToGrid w:val="0"/>
          <w:color w:val="auto"/>
          <w:spacing w:val="8"/>
          <w:kern w:val="0"/>
          <w:sz w:val="24"/>
          <w:highlight w:val="none"/>
        </w:rPr>
        <w:t xml:space="preserve">   法定代表人</w:t>
      </w:r>
      <w:r>
        <w:rPr>
          <w:rFonts w:hint="eastAsia" w:ascii="宋体" w:hAnsi="宋体"/>
          <w:snapToGrid w:val="0"/>
          <w:color w:val="auto"/>
          <w:spacing w:val="8"/>
          <w:kern w:val="0"/>
          <w:sz w:val="24"/>
          <w:highlight w:val="none"/>
          <w:lang w:eastAsia="zh-CN"/>
        </w:rPr>
        <w:t>或其委托代理人</w:t>
      </w:r>
      <w:r>
        <w:rPr>
          <w:rFonts w:hint="eastAsia" w:ascii="宋体" w:hAnsi="宋体"/>
          <w:snapToGrid w:val="0"/>
          <w:color w:val="auto"/>
          <w:spacing w:val="8"/>
          <w:kern w:val="0"/>
          <w:sz w:val="24"/>
          <w:highlight w:val="none"/>
        </w:rPr>
        <w:t>（签字</w:t>
      </w:r>
      <w:r>
        <w:rPr>
          <w:rFonts w:hint="eastAsia" w:ascii="宋体" w:hAnsi="宋体"/>
          <w:snapToGrid w:val="0"/>
          <w:color w:val="auto"/>
          <w:spacing w:val="8"/>
          <w:kern w:val="0"/>
          <w:sz w:val="24"/>
          <w:highlight w:val="none"/>
          <w:lang w:eastAsia="zh-CN"/>
        </w:rPr>
        <w:t>或</w:t>
      </w:r>
      <w:r>
        <w:rPr>
          <w:rFonts w:hint="eastAsia" w:ascii="宋体" w:hAnsi="宋体"/>
          <w:snapToGrid w:val="0"/>
          <w:color w:val="auto"/>
          <w:spacing w:val="8"/>
          <w:kern w:val="0"/>
          <w:sz w:val="24"/>
          <w:highlight w:val="none"/>
        </w:rPr>
        <w:t>盖章）：</w:t>
      </w:r>
    </w:p>
    <w:p>
      <w:pPr>
        <w:adjustRightInd w:val="0"/>
        <w:snapToGrid w:val="0"/>
        <w:spacing w:line="520" w:lineRule="exact"/>
        <w:ind w:firstLine="285"/>
        <w:rPr>
          <w:rFonts w:hint="eastAsia" w:ascii="宋体" w:hAnsi="宋体"/>
          <w:snapToGrid w:val="0"/>
          <w:color w:val="auto"/>
          <w:spacing w:val="12"/>
          <w:kern w:val="0"/>
          <w:sz w:val="24"/>
          <w:highlight w:val="none"/>
        </w:rPr>
      </w:pPr>
    </w:p>
    <w:p>
      <w:pPr>
        <w:adjustRightInd w:val="0"/>
        <w:snapToGrid w:val="0"/>
        <w:spacing w:line="520" w:lineRule="exact"/>
        <w:ind w:firstLine="6630"/>
        <w:jc w:val="center"/>
        <w:rPr>
          <w:rFonts w:hint="eastAsia" w:ascii="宋体" w:hAnsi="宋体"/>
          <w:snapToGrid w:val="0"/>
          <w:color w:val="auto"/>
          <w:spacing w:val="12"/>
          <w:kern w:val="0"/>
          <w:sz w:val="24"/>
          <w:highlight w:val="none"/>
        </w:rPr>
      </w:pPr>
      <w:r>
        <w:rPr>
          <w:rFonts w:hint="eastAsia" w:ascii="宋体" w:hAnsi="宋体"/>
          <w:snapToGrid w:val="0"/>
          <w:color w:val="auto"/>
          <w:spacing w:val="12"/>
          <w:kern w:val="0"/>
          <w:sz w:val="24"/>
          <w:highlight w:val="none"/>
        </w:rPr>
        <w:t>年</w:t>
      </w:r>
      <w:r>
        <w:rPr>
          <w:rFonts w:ascii="宋体" w:hAnsi="宋体"/>
          <w:snapToGrid w:val="0"/>
          <w:color w:val="auto"/>
          <w:spacing w:val="12"/>
          <w:kern w:val="0"/>
          <w:sz w:val="24"/>
          <w:highlight w:val="none"/>
        </w:rPr>
        <w:t xml:space="preserve">  </w:t>
      </w:r>
      <w:r>
        <w:rPr>
          <w:rFonts w:hint="eastAsia" w:ascii="宋体" w:hAnsi="宋体"/>
          <w:snapToGrid w:val="0"/>
          <w:color w:val="auto"/>
          <w:spacing w:val="12"/>
          <w:kern w:val="0"/>
          <w:sz w:val="24"/>
          <w:highlight w:val="none"/>
        </w:rPr>
        <w:t>月</w:t>
      </w:r>
      <w:r>
        <w:rPr>
          <w:rFonts w:ascii="宋体" w:hAnsi="宋体"/>
          <w:snapToGrid w:val="0"/>
          <w:color w:val="auto"/>
          <w:spacing w:val="12"/>
          <w:kern w:val="0"/>
          <w:sz w:val="24"/>
          <w:highlight w:val="none"/>
        </w:rPr>
        <w:t xml:space="preserve">  </w:t>
      </w:r>
      <w:r>
        <w:rPr>
          <w:rFonts w:hint="eastAsia" w:ascii="宋体" w:hAnsi="宋体"/>
          <w:snapToGrid w:val="0"/>
          <w:color w:val="auto"/>
          <w:spacing w:val="12"/>
          <w:kern w:val="0"/>
          <w:sz w:val="24"/>
          <w:highlight w:val="none"/>
        </w:rPr>
        <w:t>日</w:t>
      </w:r>
    </w:p>
    <w:p>
      <w:pPr>
        <w:adjustRightInd w:val="0"/>
        <w:snapToGrid w:val="0"/>
        <w:spacing w:line="520" w:lineRule="exact"/>
        <w:jc w:val="center"/>
        <w:rPr>
          <w:rFonts w:hint="eastAsia" w:ascii="宋体" w:hAnsi="宋体" w:eastAsia="宋体"/>
          <w:b/>
          <w:snapToGrid w:val="0"/>
          <w:color w:val="auto"/>
          <w:spacing w:val="12"/>
          <w:kern w:val="0"/>
          <w:sz w:val="28"/>
          <w:highlight w:val="none"/>
          <w:lang w:eastAsia="zh-CN"/>
        </w:rPr>
      </w:pPr>
      <w:r>
        <w:rPr>
          <w:rFonts w:ascii="宋体" w:hAnsi="宋体"/>
          <w:snapToGrid w:val="0"/>
          <w:color w:val="auto"/>
          <w:spacing w:val="12"/>
          <w:kern w:val="0"/>
          <w:sz w:val="24"/>
          <w:highlight w:val="none"/>
        </w:rPr>
        <w:br w:type="page"/>
      </w:r>
      <w:r>
        <w:rPr>
          <w:rFonts w:hint="eastAsia" w:ascii="宋体" w:hAnsi="宋体"/>
          <w:b/>
          <w:snapToGrid w:val="0"/>
          <w:color w:val="auto"/>
          <w:spacing w:val="12"/>
          <w:kern w:val="0"/>
          <w:sz w:val="28"/>
          <w:highlight w:val="none"/>
        </w:rPr>
        <w:t>五、</w:t>
      </w:r>
      <w:r>
        <w:rPr>
          <w:rFonts w:hint="eastAsia" w:ascii="宋体" w:hAnsi="宋体"/>
          <w:b/>
          <w:snapToGrid w:val="0"/>
          <w:color w:val="auto"/>
          <w:spacing w:val="12"/>
          <w:kern w:val="0"/>
          <w:sz w:val="28"/>
          <w:highlight w:val="none"/>
          <w:lang w:eastAsia="zh-CN"/>
        </w:rPr>
        <w:t>报价明细表</w:t>
      </w:r>
    </w:p>
    <w:p>
      <w:pPr>
        <w:adjustRightInd w:val="0"/>
        <w:snapToGrid w:val="0"/>
        <w:spacing w:line="520" w:lineRule="exact"/>
        <w:rPr>
          <w:rFonts w:hint="eastAsia" w:ascii="宋体" w:hAnsi="宋体"/>
          <w:bCs/>
          <w:color w:val="auto"/>
          <w:sz w:val="24"/>
          <w:szCs w:val="24"/>
          <w:highlight w:val="none"/>
        </w:rPr>
      </w:pPr>
    </w:p>
    <w:p>
      <w:pPr>
        <w:adjustRightInd w:val="0"/>
        <w:snapToGrid w:val="0"/>
        <w:spacing w:line="520" w:lineRule="exact"/>
        <w:rPr>
          <w:rFonts w:hint="eastAsia" w:ascii="宋体" w:hAnsi="宋体"/>
          <w:snapToGrid w:val="0"/>
          <w:color w:val="auto"/>
          <w:spacing w:val="12"/>
          <w:kern w:val="0"/>
          <w:sz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rPr>
        <w:t xml:space="preserve">                               （项目名称）</w:t>
      </w:r>
      <w:r>
        <w:rPr>
          <w:rFonts w:hint="eastAsia" w:ascii="宋体" w:hAnsi="宋体"/>
          <w:snapToGrid w:val="0"/>
          <w:color w:val="auto"/>
          <w:spacing w:val="12"/>
          <w:kern w:val="0"/>
          <w:sz w:val="24"/>
          <w:highlight w:val="none"/>
        </w:rPr>
        <w:t xml:space="preserve">           单位：元</w:t>
      </w:r>
    </w:p>
    <w:tbl>
      <w:tblPr>
        <w:tblStyle w:val="32"/>
        <w:tblW w:w="9552" w:type="dxa"/>
        <w:jc w:val="center"/>
        <w:tblLayout w:type="fixed"/>
        <w:tblCellMar>
          <w:top w:w="0" w:type="dxa"/>
          <w:left w:w="108" w:type="dxa"/>
          <w:bottom w:w="0" w:type="dxa"/>
          <w:right w:w="108" w:type="dxa"/>
        </w:tblCellMar>
      </w:tblPr>
      <w:tblGrid>
        <w:gridCol w:w="802"/>
        <w:gridCol w:w="2700"/>
        <w:gridCol w:w="1210"/>
        <w:gridCol w:w="1210"/>
        <w:gridCol w:w="1210"/>
        <w:gridCol w:w="1210"/>
        <w:gridCol w:w="1210"/>
      </w:tblGrid>
      <w:tr>
        <w:tblPrEx>
          <w:tblCellMar>
            <w:top w:w="0" w:type="dxa"/>
            <w:left w:w="108" w:type="dxa"/>
            <w:bottom w:w="0" w:type="dxa"/>
            <w:right w:w="108" w:type="dxa"/>
          </w:tblCellMar>
        </w:tblPrEx>
        <w:trPr>
          <w:trHeight w:val="397"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编号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olor w:val="auto"/>
                <w:sz w:val="24"/>
                <w:highlight w:val="none"/>
              </w:rPr>
              <w:t>货物名称</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w:t>
            </w:r>
            <w:r>
              <w:rPr>
                <w:rFonts w:hint="eastAsia" w:ascii="宋体" w:hAnsi="宋体"/>
                <w:color w:val="auto"/>
                <w:kern w:val="0"/>
                <w:sz w:val="24"/>
                <w:highlight w:val="none"/>
              </w:rPr>
              <w:t xml:space="preserve"> </w:t>
            </w:r>
            <w:r>
              <w:rPr>
                <w:rFonts w:hint="eastAsia" w:ascii="宋体" w:hAnsi="宋体" w:cs="宋体"/>
                <w:color w:val="auto"/>
                <w:kern w:val="0"/>
                <w:sz w:val="24"/>
                <w:highlight w:val="none"/>
              </w:rPr>
              <w:t>价</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总</w:t>
            </w:r>
            <w:r>
              <w:rPr>
                <w:rFonts w:hint="eastAsia" w:ascii="宋体" w:hAnsi="宋体"/>
                <w:color w:val="auto"/>
                <w:kern w:val="0"/>
                <w:sz w:val="24"/>
                <w:highlight w:val="none"/>
              </w:rPr>
              <w:t xml:space="preserve"> </w:t>
            </w:r>
            <w:r>
              <w:rPr>
                <w:rFonts w:hint="eastAsia" w:ascii="宋体" w:hAnsi="宋体" w:cs="宋体"/>
                <w:color w:val="auto"/>
                <w:kern w:val="0"/>
                <w:sz w:val="24"/>
                <w:highlight w:val="none"/>
              </w:rPr>
              <w:t>价</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交付期</w:t>
            </w:r>
          </w:p>
        </w:tc>
      </w:tr>
      <w:tr>
        <w:tblPrEx>
          <w:tblCellMar>
            <w:top w:w="0" w:type="dxa"/>
            <w:left w:w="108" w:type="dxa"/>
            <w:bottom w:w="0" w:type="dxa"/>
            <w:right w:w="108" w:type="dxa"/>
          </w:tblCellMar>
        </w:tblPrEx>
        <w:trPr>
          <w:trHeight w:val="397"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r>
      <w:tr>
        <w:tblPrEx>
          <w:tblCellMar>
            <w:top w:w="0" w:type="dxa"/>
            <w:left w:w="108" w:type="dxa"/>
            <w:bottom w:w="0" w:type="dxa"/>
            <w:right w:w="108" w:type="dxa"/>
          </w:tblCellMar>
        </w:tblPrEx>
        <w:trPr>
          <w:trHeight w:val="397"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r>
      <w:tr>
        <w:tblPrEx>
          <w:tblCellMar>
            <w:top w:w="0" w:type="dxa"/>
            <w:left w:w="108" w:type="dxa"/>
            <w:bottom w:w="0" w:type="dxa"/>
            <w:right w:w="108" w:type="dxa"/>
          </w:tblCellMar>
        </w:tblPrEx>
        <w:trPr>
          <w:trHeight w:val="397"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r>
      <w:tr>
        <w:tblPrEx>
          <w:tblCellMar>
            <w:top w:w="0" w:type="dxa"/>
            <w:left w:w="108" w:type="dxa"/>
            <w:bottom w:w="0" w:type="dxa"/>
            <w:right w:w="108" w:type="dxa"/>
          </w:tblCellMar>
        </w:tblPrEx>
        <w:trPr>
          <w:trHeight w:val="397"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r>
      <w:tr>
        <w:tblPrEx>
          <w:tblCellMar>
            <w:top w:w="0" w:type="dxa"/>
            <w:left w:w="108" w:type="dxa"/>
            <w:bottom w:w="0" w:type="dxa"/>
            <w:right w:w="108" w:type="dxa"/>
          </w:tblCellMar>
        </w:tblPrEx>
        <w:trPr>
          <w:trHeight w:val="397"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r>
      <w:tr>
        <w:tblPrEx>
          <w:tblCellMar>
            <w:top w:w="0" w:type="dxa"/>
            <w:left w:w="108" w:type="dxa"/>
            <w:bottom w:w="0" w:type="dxa"/>
            <w:right w:w="108" w:type="dxa"/>
          </w:tblCellMar>
        </w:tblPrEx>
        <w:trPr>
          <w:trHeight w:val="397"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r>
      <w:tr>
        <w:tblPrEx>
          <w:tblCellMar>
            <w:top w:w="0" w:type="dxa"/>
            <w:left w:w="108" w:type="dxa"/>
            <w:bottom w:w="0" w:type="dxa"/>
            <w:right w:w="108" w:type="dxa"/>
          </w:tblCellMar>
        </w:tblPrEx>
        <w:trPr>
          <w:trHeight w:val="397"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r>
      <w:tr>
        <w:tblPrEx>
          <w:tblCellMar>
            <w:top w:w="0" w:type="dxa"/>
            <w:left w:w="108" w:type="dxa"/>
            <w:bottom w:w="0" w:type="dxa"/>
            <w:right w:w="108" w:type="dxa"/>
          </w:tblCellMar>
        </w:tblPrEx>
        <w:trPr>
          <w:trHeight w:val="397"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w:t>
            </w: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r>
      <w:tr>
        <w:tblPrEx>
          <w:tblCellMar>
            <w:top w:w="0" w:type="dxa"/>
            <w:left w:w="108" w:type="dxa"/>
            <w:bottom w:w="0" w:type="dxa"/>
            <w:right w:w="108" w:type="dxa"/>
          </w:tblCellMar>
        </w:tblPrEx>
        <w:trPr>
          <w:trHeight w:val="397" w:hRule="atLeast"/>
          <w:jc w:val="center"/>
        </w:trPr>
        <w:tc>
          <w:tcPr>
            <w:tcW w:w="7132" w:type="dxa"/>
            <w:gridSpan w:val="5"/>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单套价格合计</w:t>
            </w:r>
          </w:p>
        </w:tc>
        <w:tc>
          <w:tcPr>
            <w:tcW w:w="24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highlight w:val="none"/>
              </w:rPr>
            </w:pPr>
          </w:p>
        </w:tc>
      </w:tr>
      <w:tr>
        <w:tblPrEx>
          <w:tblCellMar>
            <w:top w:w="0" w:type="dxa"/>
            <w:left w:w="108" w:type="dxa"/>
            <w:bottom w:w="0" w:type="dxa"/>
            <w:right w:w="108" w:type="dxa"/>
          </w:tblCellMar>
        </w:tblPrEx>
        <w:trPr>
          <w:trHeight w:val="397" w:hRule="exact"/>
          <w:jc w:val="center"/>
        </w:trPr>
        <w:tc>
          <w:tcPr>
            <w:tcW w:w="3502" w:type="dxa"/>
            <w:gridSpan w:val="2"/>
            <w:tcBorders>
              <w:top w:val="nil"/>
              <w:left w:val="single" w:color="auto" w:sz="4" w:space="0"/>
              <w:bottom w:val="single" w:color="auto" w:sz="4" w:space="0"/>
              <w:right w:val="single" w:color="auto" w:sz="4" w:space="0"/>
            </w:tcBorders>
            <w:noWrap w:val="0"/>
            <w:vAlign w:val="top"/>
          </w:tcPr>
          <w:p>
            <w:pPr>
              <w:adjustRightInd w:val="0"/>
              <w:snapToGrid w:val="0"/>
              <w:spacing w:line="300" w:lineRule="auto"/>
              <w:jc w:val="center"/>
              <w:rPr>
                <w:rFonts w:hint="eastAsia" w:ascii="宋体" w:hAnsi="宋体" w:eastAsia="宋体"/>
                <w:b/>
                <w:snapToGrid w:val="0"/>
                <w:color w:val="auto"/>
                <w:kern w:val="0"/>
                <w:sz w:val="24"/>
                <w:highlight w:val="none"/>
                <w:lang w:eastAsia="zh-CN"/>
              </w:rPr>
            </w:pPr>
            <w:r>
              <w:rPr>
                <w:rFonts w:hint="eastAsia" w:ascii="宋体" w:hAnsi="宋体"/>
                <w:b/>
                <w:snapToGrid w:val="0"/>
                <w:color w:val="auto"/>
                <w:kern w:val="0"/>
                <w:sz w:val="24"/>
                <w:highlight w:val="none"/>
              </w:rPr>
              <w:t>投标总价</w:t>
            </w:r>
          </w:p>
        </w:tc>
        <w:tc>
          <w:tcPr>
            <w:tcW w:w="605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olor w:val="auto"/>
                <w:kern w:val="0"/>
                <w:sz w:val="24"/>
                <w:highlight w:val="none"/>
              </w:rPr>
              <w:t>人民币大写</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w:t>
            </w:r>
          </w:p>
        </w:tc>
      </w:tr>
      <w:tr>
        <w:tblPrEx>
          <w:tblCellMar>
            <w:top w:w="0" w:type="dxa"/>
            <w:left w:w="108" w:type="dxa"/>
            <w:bottom w:w="0" w:type="dxa"/>
            <w:right w:w="108" w:type="dxa"/>
          </w:tblCellMar>
        </w:tblPrEx>
        <w:trPr>
          <w:trHeight w:val="397" w:hRule="exact"/>
          <w:jc w:val="center"/>
        </w:trPr>
        <w:tc>
          <w:tcPr>
            <w:tcW w:w="3502" w:type="dxa"/>
            <w:gridSpan w:val="2"/>
            <w:tcBorders>
              <w:top w:val="nil"/>
              <w:left w:val="single" w:color="auto" w:sz="4" w:space="0"/>
              <w:bottom w:val="single" w:color="auto" w:sz="4" w:space="0"/>
              <w:right w:val="single" w:color="auto" w:sz="4" w:space="0"/>
            </w:tcBorders>
            <w:noWrap w:val="0"/>
            <w:vAlign w:val="top"/>
          </w:tcPr>
          <w:p>
            <w:pPr>
              <w:adjustRightInd w:val="0"/>
              <w:snapToGrid w:val="0"/>
              <w:spacing w:line="300" w:lineRule="auto"/>
              <w:jc w:val="center"/>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供货期</w:t>
            </w:r>
          </w:p>
        </w:tc>
        <w:tc>
          <w:tcPr>
            <w:tcW w:w="6050"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auto"/>
                <w:kern w:val="0"/>
                <w:sz w:val="24"/>
                <w:highlight w:val="none"/>
              </w:rPr>
            </w:pPr>
          </w:p>
        </w:tc>
      </w:tr>
      <w:tr>
        <w:tblPrEx>
          <w:tblCellMar>
            <w:top w:w="0" w:type="dxa"/>
            <w:left w:w="108" w:type="dxa"/>
            <w:bottom w:w="0" w:type="dxa"/>
            <w:right w:w="108" w:type="dxa"/>
          </w:tblCellMar>
        </w:tblPrEx>
        <w:trPr>
          <w:trHeight w:val="454" w:hRule="atLeast"/>
          <w:jc w:val="center"/>
        </w:trPr>
        <w:tc>
          <w:tcPr>
            <w:tcW w:w="9552" w:type="dxa"/>
            <w:gridSpan w:val="7"/>
            <w:tcBorders>
              <w:top w:val="single" w:color="auto" w:sz="4" w:space="0"/>
              <w:left w:val="nil"/>
              <w:bottom w:val="nil"/>
              <w:right w:val="nil"/>
            </w:tcBorders>
            <w:noWrap w:val="0"/>
            <w:vAlign w:val="center"/>
          </w:tcPr>
          <w:p>
            <w:pPr>
              <w:widowControl/>
              <w:jc w:val="left"/>
              <w:rPr>
                <w:rFonts w:hint="eastAsia" w:ascii="宋体" w:hAnsi="宋体" w:cs="宋体"/>
                <w:color w:val="auto"/>
                <w:kern w:val="0"/>
                <w:sz w:val="24"/>
                <w:highlight w:val="none"/>
              </w:rPr>
            </w:pPr>
          </w:p>
          <w:p>
            <w:pPr>
              <w:widowControl/>
              <w:jc w:val="left"/>
              <w:rPr>
                <w:rFonts w:hint="eastAsia" w:ascii="宋体" w:hAnsi="宋体" w:cs="宋体"/>
                <w:color w:val="auto"/>
                <w:kern w:val="0"/>
                <w:sz w:val="24"/>
                <w:highlight w:val="none"/>
              </w:rPr>
            </w:pP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u w:val="single"/>
              </w:rPr>
              <w:t xml:space="preserve">          投标人全称            </w:t>
            </w:r>
            <w:r>
              <w:rPr>
                <w:rFonts w:hint="eastAsia" w:ascii="宋体" w:hAnsi="宋体" w:cs="宋体"/>
                <w:color w:val="auto"/>
                <w:kern w:val="0"/>
                <w:sz w:val="24"/>
                <w:highlight w:val="none"/>
              </w:rPr>
              <w:t>（盖章）</w:t>
            </w:r>
          </w:p>
          <w:p>
            <w:pPr>
              <w:widowControl/>
              <w:jc w:val="left"/>
              <w:rPr>
                <w:rFonts w:hint="eastAsia" w:ascii="宋体" w:hAnsi="宋体" w:cs="宋体"/>
                <w:color w:val="auto"/>
                <w:kern w:val="0"/>
                <w:sz w:val="24"/>
                <w:highlight w:val="none"/>
              </w:rPr>
            </w:pP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r>
      <w:tr>
        <w:tblPrEx>
          <w:tblCellMar>
            <w:top w:w="0" w:type="dxa"/>
            <w:left w:w="108" w:type="dxa"/>
            <w:bottom w:w="0" w:type="dxa"/>
            <w:right w:w="108" w:type="dxa"/>
          </w:tblCellMar>
        </w:tblPrEx>
        <w:trPr>
          <w:trHeight w:val="454" w:hRule="atLeast"/>
          <w:jc w:val="center"/>
        </w:trPr>
        <w:tc>
          <w:tcPr>
            <w:tcW w:w="9552" w:type="dxa"/>
            <w:gridSpan w:val="7"/>
            <w:noWrap w:val="0"/>
            <w:vAlign w:val="center"/>
          </w:tcPr>
          <w:p>
            <w:pPr>
              <w:widowControl/>
              <w:jc w:val="left"/>
              <w:rPr>
                <w:rFonts w:ascii="宋体" w:hAnsi="宋体" w:cs="宋体"/>
                <w:color w:val="auto"/>
                <w:kern w:val="0"/>
                <w:sz w:val="24"/>
                <w:highlight w:val="none"/>
                <w:u w:val="single"/>
              </w:rPr>
            </w:pPr>
            <w:r>
              <w:rPr>
                <w:rFonts w:hint="eastAsia" w:ascii="宋体" w:hAnsi="宋体" w:cs="宋体"/>
                <w:color w:val="auto"/>
                <w:kern w:val="0"/>
                <w:sz w:val="24"/>
                <w:highlight w:val="none"/>
              </w:rPr>
              <w:t>法定代表人</w:t>
            </w:r>
            <w:r>
              <w:rPr>
                <w:rFonts w:hint="eastAsia" w:ascii="宋体" w:hAnsi="宋体" w:cs="宋体"/>
                <w:color w:val="auto"/>
                <w:kern w:val="0"/>
                <w:sz w:val="24"/>
                <w:highlight w:val="none"/>
                <w:lang w:eastAsia="zh-CN"/>
              </w:rPr>
              <w:t>或其委托代理人</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r>
              <w:rPr>
                <w:rFonts w:hint="eastAsia" w:ascii="宋体" w:hAnsi="宋体" w:cs="宋体"/>
                <w:color w:val="auto"/>
                <w:kern w:val="0"/>
                <w:sz w:val="24"/>
                <w:highlight w:val="none"/>
                <w:lang w:eastAsia="zh-CN"/>
              </w:rPr>
              <w:t>或</w:t>
            </w:r>
            <w:r>
              <w:rPr>
                <w:rFonts w:hint="eastAsia" w:ascii="宋体" w:hAnsi="宋体" w:cs="宋体"/>
                <w:color w:val="auto"/>
                <w:kern w:val="0"/>
                <w:sz w:val="24"/>
                <w:highlight w:val="none"/>
              </w:rPr>
              <w:t>盖章）</w:t>
            </w:r>
          </w:p>
        </w:tc>
      </w:tr>
      <w:tr>
        <w:tblPrEx>
          <w:tblCellMar>
            <w:top w:w="0" w:type="dxa"/>
            <w:left w:w="108" w:type="dxa"/>
            <w:bottom w:w="0" w:type="dxa"/>
            <w:right w:w="108" w:type="dxa"/>
          </w:tblCellMar>
        </w:tblPrEx>
        <w:trPr>
          <w:trHeight w:val="454" w:hRule="atLeast"/>
          <w:jc w:val="center"/>
        </w:trPr>
        <w:tc>
          <w:tcPr>
            <w:tcW w:w="9552" w:type="dxa"/>
            <w:gridSpan w:val="7"/>
            <w:noWrap w:val="0"/>
            <w:vAlign w:val="center"/>
          </w:tcPr>
          <w:p>
            <w:pPr>
              <w:widowControl/>
              <w:jc w:val="right"/>
              <w:rPr>
                <w:rFonts w:ascii="宋体" w:hAnsi="宋体" w:cs="宋体"/>
                <w:color w:val="auto"/>
                <w:kern w:val="0"/>
                <w:sz w:val="24"/>
                <w:highlight w:val="none"/>
              </w:rPr>
            </w:pPr>
            <w:r>
              <w:rPr>
                <w:rFonts w:hint="eastAsia" w:ascii="宋体" w:hAnsi="宋体"/>
                <w:snapToGrid w:val="0"/>
                <w:color w:val="auto"/>
                <w:kern w:val="0"/>
                <w:sz w:val="24"/>
                <w:highlight w:val="none"/>
              </w:rPr>
              <w:t>年    月    日</w:t>
            </w:r>
          </w:p>
        </w:tc>
      </w:tr>
    </w:tbl>
    <w:p>
      <w:pPr>
        <w:adjustRightInd w:val="0"/>
        <w:snapToGrid w:val="0"/>
        <w:spacing w:line="520" w:lineRule="exact"/>
        <w:rPr>
          <w:rFonts w:hint="eastAsia" w:ascii="宋体" w:hAnsi="宋体"/>
          <w:snapToGrid w:val="0"/>
          <w:color w:val="auto"/>
          <w:spacing w:val="12"/>
          <w:kern w:val="0"/>
          <w:sz w:val="24"/>
          <w:highlight w:val="none"/>
        </w:rPr>
      </w:pPr>
    </w:p>
    <w:p>
      <w:pPr>
        <w:spacing w:line="360" w:lineRule="auto"/>
        <w:rPr>
          <w:rFonts w:hint="eastAsia" w:ascii="宋体" w:hAnsi="宋体"/>
          <w:b/>
          <w:color w:val="auto"/>
          <w:sz w:val="24"/>
          <w:highlight w:val="none"/>
        </w:rPr>
      </w:pPr>
      <w:r>
        <w:rPr>
          <w:rFonts w:hint="eastAsia" w:ascii="宋体" w:hAnsi="宋体"/>
          <w:b/>
          <w:color w:val="auto"/>
          <w:sz w:val="24"/>
          <w:highlight w:val="none"/>
        </w:rPr>
        <w:t>注：</w:t>
      </w:r>
    </w:p>
    <w:p>
      <w:pPr>
        <w:numPr>
          <w:ilvl w:val="0"/>
          <w:numId w:val="5"/>
        </w:num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所有价格应按“招标文件”中规定的货币单位填写；</w:t>
      </w:r>
    </w:p>
    <w:p>
      <w:pPr>
        <w:numPr>
          <w:ilvl w:val="0"/>
          <w:numId w:val="5"/>
        </w:num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投标总价应为以上各分项价格之和；</w:t>
      </w:r>
    </w:p>
    <w:p>
      <w:pPr>
        <w:numPr>
          <w:ilvl w:val="0"/>
          <w:numId w:val="5"/>
        </w:numPr>
        <w:spacing w:line="360" w:lineRule="auto"/>
        <w:ind w:left="0" w:leftChars="0" w:firstLine="482" w:firstLineChars="200"/>
        <w:rPr>
          <w:rFonts w:hint="eastAsia" w:ascii="宋体" w:hAnsi="宋体"/>
          <w:b/>
          <w:color w:val="auto"/>
          <w:sz w:val="24"/>
          <w:highlight w:val="none"/>
          <w:lang w:eastAsia="zh-CN"/>
        </w:rPr>
      </w:pPr>
      <w:r>
        <w:rPr>
          <w:rFonts w:hint="eastAsia" w:ascii="宋体" w:hAnsi="宋体"/>
          <w:b/>
          <w:color w:val="auto"/>
          <w:sz w:val="24"/>
          <w:highlight w:val="none"/>
        </w:rPr>
        <w:t>此表应经法定代表人或委托人</w:t>
      </w:r>
      <w:r>
        <w:rPr>
          <w:rFonts w:hint="eastAsia" w:ascii="宋体" w:hAnsi="宋体"/>
          <w:b/>
          <w:color w:val="auto"/>
          <w:sz w:val="24"/>
          <w:highlight w:val="none"/>
          <w:lang w:eastAsia="zh-CN"/>
        </w:rPr>
        <w:t>签字或盖章</w:t>
      </w:r>
      <w:r>
        <w:rPr>
          <w:rFonts w:hint="eastAsia" w:ascii="宋体" w:hAnsi="宋体"/>
          <w:b/>
          <w:color w:val="auto"/>
          <w:sz w:val="24"/>
          <w:highlight w:val="none"/>
        </w:rPr>
        <w:t>，并盖上单位公章</w:t>
      </w:r>
      <w:r>
        <w:rPr>
          <w:rFonts w:hint="eastAsia" w:ascii="宋体" w:hAnsi="宋体"/>
          <w:b/>
          <w:color w:val="auto"/>
          <w:sz w:val="24"/>
          <w:highlight w:val="none"/>
          <w:lang w:eastAsia="zh-CN"/>
        </w:rPr>
        <w:t>；</w:t>
      </w:r>
    </w:p>
    <w:p>
      <w:pPr>
        <w:numPr>
          <w:ilvl w:val="0"/>
          <w:numId w:val="5"/>
        </w:numPr>
        <w:spacing w:line="360" w:lineRule="auto"/>
        <w:ind w:left="0" w:leftChars="0" w:firstLine="482" w:firstLineChars="200"/>
        <w:rPr>
          <w:rFonts w:hint="eastAsia" w:ascii="宋体" w:hAnsi="宋体" w:eastAsia="宋体"/>
          <w:b/>
          <w:color w:val="auto"/>
          <w:sz w:val="24"/>
          <w:szCs w:val="22"/>
          <w:highlight w:val="none"/>
          <w:lang w:eastAsia="zh-CN"/>
        </w:rPr>
      </w:pPr>
      <w:r>
        <w:rPr>
          <w:rFonts w:hint="eastAsia" w:ascii="宋体" w:hAnsi="宋体" w:eastAsia="宋体"/>
          <w:b/>
          <w:color w:val="auto"/>
          <w:sz w:val="24"/>
          <w:szCs w:val="22"/>
          <w:highlight w:val="none"/>
          <w:lang w:val="en-US" w:eastAsia="zh-CN"/>
        </w:rPr>
        <w:t>同格式可拓展。</w:t>
      </w:r>
    </w:p>
    <w:p>
      <w:pPr>
        <w:adjustRightInd w:val="0"/>
        <w:snapToGrid w:val="0"/>
        <w:spacing w:line="520" w:lineRule="exact"/>
        <w:jc w:val="center"/>
        <w:rPr>
          <w:rFonts w:hint="eastAsia" w:ascii="宋体" w:hAnsi="宋体"/>
          <w:b/>
          <w:snapToGrid w:val="0"/>
          <w:color w:val="auto"/>
          <w:spacing w:val="12"/>
          <w:kern w:val="0"/>
          <w:sz w:val="28"/>
          <w:highlight w:val="none"/>
        </w:rPr>
      </w:pPr>
      <w:r>
        <w:rPr>
          <w:rFonts w:ascii="宋体" w:hAnsi="宋体"/>
          <w:snapToGrid w:val="0"/>
          <w:color w:val="auto"/>
          <w:spacing w:val="12"/>
          <w:kern w:val="0"/>
          <w:sz w:val="24"/>
          <w:highlight w:val="none"/>
        </w:rPr>
        <w:br w:type="page"/>
      </w:r>
      <w:r>
        <w:rPr>
          <w:rFonts w:hint="eastAsia" w:ascii="宋体" w:hAnsi="宋体"/>
          <w:b/>
          <w:snapToGrid w:val="0"/>
          <w:color w:val="auto"/>
          <w:spacing w:val="12"/>
          <w:kern w:val="0"/>
          <w:sz w:val="28"/>
          <w:highlight w:val="none"/>
          <w:lang w:val="en-US" w:eastAsia="zh-CN"/>
        </w:rPr>
        <w:t>六</w:t>
      </w:r>
      <w:r>
        <w:rPr>
          <w:rFonts w:hint="eastAsia" w:ascii="宋体" w:hAnsi="宋体"/>
          <w:b/>
          <w:snapToGrid w:val="0"/>
          <w:color w:val="auto"/>
          <w:spacing w:val="12"/>
          <w:kern w:val="0"/>
          <w:sz w:val="28"/>
          <w:highlight w:val="none"/>
        </w:rPr>
        <w:t>、投标人资质证明文件</w:t>
      </w:r>
    </w:p>
    <w:p>
      <w:pPr>
        <w:adjustRightInd w:val="0"/>
        <w:snapToGrid w:val="0"/>
        <w:spacing w:line="520" w:lineRule="exact"/>
        <w:ind w:firstLine="735"/>
        <w:jc w:val="center"/>
        <w:rPr>
          <w:rFonts w:hint="eastAsia" w:ascii="宋体" w:hAnsi="宋体"/>
          <w:b/>
          <w:snapToGrid w:val="0"/>
          <w:color w:val="auto"/>
          <w:spacing w:val="12"/>
          <w:kern w:val="0"/>
          <w:sz w:val="24"/>
          <w:szCs w:val="24"/>
          <w:highlight w:val="none"/>
        </w:rPr>
      </w:pPr>
    </w:p>
    <w:p>
      <w:pPr>
        <w:numPr>
          <w:ilvl w:val="0"/>
          <w:numId w:val="6"/>
        </w:numPr>
        <w:adjustRightInd w:val="0"/>
        <w:snapToGrid w:val="0"/>
        <w:spacing w:line="360" w:lineRule="auto"/>
        <w:ind w:right="28"/>
        <w:jc w:val="left"/>
        <w:rPr>
          <w:rFonts w:ascii="宋体" w:hAnsi="宋体"/>
          <w:sz w:val="24"/>
          <w:szCs w:val="24"/>
          <w:highlight w:val="none"/>
        </w:rPr>
      </w:pPr>
      <w:r>
        <w:rPr>
          <w:rFonts w:hint="eastAsia" w:ascii="宋体" w:hAnsi="宋体"/>
          <w:sz w:val="24"/>
          <w:szCs w:val="24"/>
          <w:highlight w:val="none"/>
        </w:rPr>
        <w:t>营业执照副本复印件</w:t>
      </w:r>
    </w:p>
    <w:p>
      <w:pPr>
        <w:rPr>
          <w:rFonts w:ascii="宋体" w:hAnsi="宋体"/>
          <w:sz w:val="24"/>
          <w:szCs w:val="24"/>
          <w:highlight w:val="none"/>
        </w:rPr>
      </w:pPr>
      <w:r>
        <w:rPr>
          <w:rFonts w:hint="eastAsia" w:ascii="宋体" w:hAnsi="宋体"/>
          <w:sz w:val="24"/>
          <w:szCs w:val="24"/>
          <w:highlight w:val="none"/>
        </w:rPr>
        <w:br w:type="page"/>
      </w:r>
    </w:p>
    <w:p>
      <w:pPr>
        <w:pStyle w:val="2"/>
        <w:rPr>
          <w:highlight w:val="none"/>
        </w:rPr>
      </w:pPr>
    </w:p>
    <w:p>
      <w:pPr>
        <w:numPr>
          <w:ilvl w:val="0"/>
          <w:numId w:val="6"/>
        </w:numPr>
        <w:adjustRightInd w:val="0"/>
        <w:snapToGrid w:val="0"/>
        <w:spacing w:line="360" w:lineRule="auto"/>
        <w:ind w:right="28"/>
        <w:jc w:val="left"/>
        <w:rPr>
          <w:rStyle w:val="39"/>
          <w:rFonts w:ascii="宋体" w:hAnsi="宋体" w:cs="宋体"/>
          <w:sz w:val="24"/>
          <w:szCs w:val="24"/>
          <w:highlight w:val="none"/>
        </w:rPr>
      </w:pPr>
      <w:r>
        <w:rPr>
          <w:rStyle w:val="39"/>
          <w:rFonts w:hint="eastAsia" w:ascii="宋体" w:hAnsi="宋体" w:cs="宋体"/>
          <w:sz w:val="24"/>
          <w:szCs w:val="24"/>
          <w:highlight w:val="none"/>
        </w:rPr>
        <w:t>参加政府采购活动前三年内，在经营活动中没有重大违法记录的书面声明；</w:t>
      </w:r>
    </w:p>
    <w:p>
      <w:pPr>
        <w:spacing w:line="360" w:lineRule="auto"/>
        <w:rPr>
          <w:rFonts w:ascii="宋体" w:hAnsi="宋体"/>
          <w:sz w:val="24"/>
          <w:highlight w:val="none"/>
        </w:rPr>
      </w:pPr>
      <w:r>
        <w:rPr>
          <w:rFonts w:hint="eastAsia" w:ascii="宋体" w:hAnsi="宋体"/>
          <w:sz w:val="24"/>
          <w:highlight w:val="none"/>
        </w:rPr>
        <w:t>致：</w:t>
      </w:r>
      <w:r>
        <w:rPr>
          <w:rFonts w:hint="eastAsia" w:ascii="宋体" w:hAnsi="宋体"/>
          <w:sz w:val="24"/>
          <w:highlight w:val="none"/>
          <w:u w:val="single"/>
        </w:rPr>
        <w:t xml:space="preserve">     </w:t>
      </w:r>
      <w:r>
        <w:rPr>
          <w:rFonts w:hint="eastAsia" w:ascii="宋体" w:hAnsi="宋体"/>
          <w:sz w:val="24"/>
          <w:highlight w:val="none"/>
          <w:u w:val="single"/>
          <w:lang w:eastAsia="zh-CN"/>
        </w:rPr>
        <w:t>采购人</w:t>
      </w:r>
      <w:r>
        <w:rPr>
          <w:rFonts w:hint="eastAsia" w:ascii="宋体" w:hAnsi="宋体"/>
          <w:sz w:val="24"/>
          <w:highlight w:val="none"/>
          <w:u w:val="single"/>
        </w:rPr>
        <w:t xml:space="preserve">名称          </w:t>
      </w:r>
    </w:p>
    <w:p>
      <w:pPr>
        <w:spacing w:line="360" w:lineRule="auto"/>
        <w:ind w:firstLine="480" w:firstLineChars="200"/>
        <w:rPr>
          <w:rFonts w:ascii="宋体" w:hAnsi="宋体"/>
          <w:sz w:val="24"/>
          <w:highlight w:val="none"/>
        </w:rPr>
      </w:pPr>
      <w:r>
        <w:rPr>
          <w:rFonts w:hint="eastAsia" w:ascii="宋体" w:hAnsi="宋体"/>
          <w:sz w:val="24"/>
          <w:highlight w:val="none"/>
        </w:rPr>
        <w:t>我单位近三年在经营活动中没有重大违法记录，特此声明</w:t>
      </w:r>
    </w:p>
    <w:p>
      <w:pPr>
        <w:spacing w:line="360" w:lineRule="auto"/>
        <w:ind w:firstLine="480" w:firstLineChars="200"/>
        <w:rPr>
          <w:rFonts w:ascii="宋体" w:hAnsi="宋体"/>
          <w:sz w:val="24"/>
          <w:highlight w:val="none"/>
        </w:rPr>
      </w:pPr>
      <w:r>
        <w:rPr>
          <w:rFonts w:hint="eastAsia" w:ascii="宋体" w:hAnsi="宋体"/>
          <w:sz w:val="24"/>
          <w:highlight w:val="none"/>
        </w:rPr>
        <w:t>若招标采购单位在本项目采购活动中发现我单位近三年内在经营活动中有重大违法记录，我单位将无条件地退出本项目的投标，并承担因此引起的一切后果。</w:t>
      </w:r>
    </w:p>
    <w:p>
      <w:pPr>
        <w:spacing w:line="360" w:lineRule="auto"/>
        <w:ind w:firstLine="480" w:firstLineChars="200"/>
        <w:rPr>
          <w:rFonts w:ascii="宋体" w:hAnsi="宋体"/>
          <w:sz w:val="24"/>
          <w:highlight w:val="none"/>
        </w:rPr>
      </w:pPr>
      <w:r>
        <w:rPr>
          <w:rFonts w:hint="eastAsia" w:ascii="宋体" w:hAnsi="宋体"/>
          <w:sz w:val="24"/>
          <w:highlight w:val="none"/>
        </w:rPr>
        <w:t>投标人名称（公章）：</w:t>
      </w:r>
    </w:p>
    <w:p>
      <w:pPr>
        <w:spacing w:line="360" w:lineRule="auto"/>
        <w:ind w:firstLine="480" w:firstLineChars="200"/>
        <w:rPr>
          <w:rFonts w:ascii="宋体" w:hAnsi="宋体"/>
          <w:sz w:val="24"/>
          <w:highlight w:val="none"/>
        </w:rPr>
      </w:pPr>
      <w:r>
        <w:rPr>
          <w:rFonts w:hint="eastAsia" w:ascii="宋体" w:hAnsi="宋体"/>
          <w:sz w:val="24"/>
          <w:highlight w:val="none"/>
        </w:rPr>
        <w:t>法定代表人或其委托代理人（签字</w:t>
      </w:r>
      <w:r>
        <w:rPr>
          <w:rFonts w:hint="eastAsia" w:ascii="宋体" w:hAnsi="宋体"/>
          <w:sz w:val="24"/>
          <w:highlight w:val="none"/>
          <w:lang w:val="en-US" w:eastAsia="zh-CN"/>
        </w:rPr>
        <w:t>或</w:t>
      </w:r>
      <w:r>
        <w:rPr>
          <w:rFonts w:hint="eastAsia" w:ascii="宋体" w:hAnsi="宋体"/>
          <w:sz w:val="24"/>
          <w:highlight w:val="none"/>
        </w:rPr>
        <w:t>盖章）：</w:t>
      </w:r>
    </w:p>
    <w:p>
      <w:pPr>
        <w:spacing w:line="360" w:lineRule="auto"/>
        <w:ind w:firstLine="480" w:firstLineChars="200"/>
        <w:rPr>
          <w:rFonts w:ascii="宋体" w:hAnsi="宋体"/>
          <w:sz w:val="24"/>
          <w:highlight w:val="none"/>
        </w:rPr>
      </w:pPr>
      <w:r>
        <w:rPr>
          <w:rFonts w:hint="eastAsia" w:ascii="宋体" w:hAnsi="宋体"/>
          <w:sz w:val="24"/>
          <w:highlight w:val="none"/>
        </w:rPr>
        <w:t>日期：</w:t>
      </w:r>
    </w:p>
    <w:p>
      <w:pPr>
        <w:pStyle w:val="28"/>
        <w:shd w:val="clear" w:color="auto" w:fill="FFFFFF"/>
        <w:spacing w:before="0" w:beforeAutospacing="0" w:after="0" w:afterAutospacing="0" w:line="360" w:lineRule="auto"/>
        <w:ind w:firstLine="480" w:firstLineChars="200"/>
        <w:rPr>
          <w:rFonts w:cs="Helvetica"/>
          <w:highlight w:val="none"/>
        </w:rPr>
      </w:pPr>
      <w:r>
        <w:rPr>
          <w:rFonts w:hint="eastAsia"/>
          <w:highlight w:val="none"/>
        </w:rPr>
        <w:t>注：</w:t>
      </w:r>
      <w:r>
        <w:rPr>
          <w:rFonts w:cs="Helvetica"/>
          <w:highlight w:val="none"/>
        </w:rPr>
        <w:t>重大违法记录，是指</w:t>
      </w:r>
      <w:r>
        <w:rPr>
          <w:rFonts w:hint="eastAsia" w:cs="Helvetica"/>
          <w:highlight w:val="none"/>
          <w:lang w:eastAsia="zh-CN"/>
        </w:rPr>
        <w:t>投标人</w:t>
      </w:r>
      <w:r>
        <w:rPr>
          <w:rFonts w:cs="Helvetica"/>
          <w:highlight w:val="none"/>
        </w:rPr>
        <w:t>因违法经营受到刑事处罚或者责令停产停业、吊销许可证或者执照、较大数额罚款等行政处罚。</w:t>
      </w:r>
    </w:p>
    <w:p>
      <w:pPr>
        <w:rPr>
          <w:rFonts w:cs="Helvetica"/>
          <w:highlight w:val="none"/>
        </w:rPr>
      </w:pPr>
      <w:r>
        <w:rPr>
          <w:rFonts w:cs="Helvetica"/>
          <w:highlight w:val="none"/>
        </w:rPr>
        <w:br w:type="page"/>
      </w:r>
    </w:p>
    <w:p>
      <w:pPr>
        <w:pStyle w:val="28"/>
        <w:shd w:val="clear" w:color="auto" w:fill="FFFFFF"/>
        <w:spacing w:before="0" w:beforeAutospacing="0" w:after="0" w:afterAutospacing="0" w:line="360" w:lineRule="auto"/>
        <w:ind w:firstLine="480" w:firstLineChars="200"/>
        <w:rPr>
          <w:rFonts w:cs="Helvetica"/>
          <w:highlight w:val="none"/>
        </w:rPr>
      </w:pPr>
    </w:p>
    <w:p>
      <w:pPr>
        <w:numPr>
          <w:ilvl w:val="0"/>
          <w:numId w:val="6"/>
        </w:numPr>
        <w:adjustRightInd w:val="0"/>
        <w:snapToGrid w:val="0"/>
        <w:spacing w:line="360" w:lineRule="auto"/>
        <w:ind w:right="28"/>
        <w:jc w:val="left"/>
        <w:rPr>
          <w:rStyle w:val="39"/>
          <w:rFonts w:ascii="宋体" w:hAnsi="宋体" w:cs="宋体"/>
          <w:sz w:val="24"/>
          <w:szCs w:val="24"/>
          <w:highlight w:val="none"/>
        </w:rPr>
      </w:pPr>
      <w:r>
        <w:rPr>
          <w:rStyle w:val="39"/>
          <w:rFonts w:hint="eastAsia" w:ascii="宋体" w:hAnsi="宋体" w:cs="宋体"/>
          <w:sz w:val="24"/>
          <w:szCs w:val="24"/>
          <w:highlight w:val="none"/>
          <w:lang w:val="en-US" w:eastAsia="zh-CN"/>
        </w:rPr>
        <w:t>投标企业具备良好的财务状况、依法缴纳税收和社会保障资金的承诺函</w:t>
      </w:r>
    </w:p>
    <w:p>
      <w:pPr>
        <w:pStyle w:val="2"/>
        <w:rPr>
          <w:highlight w:val="none"/>
        </w:rPr>
      </w:pPr>
    </w:p>
    <w:p>
      <w:pPr>
        <w:tabs>
          <w:tab w:val="left" w:pos="502"/>
        </w:tabs>
        <w:spacing w:line="360" w:lineRule="auto"/>
        <w:rPr>
          <w:rFonts w:ascii="宋体" w:hAnsi="宋体" w:eastAsia="宋体" w:cs="宋体"/>
          <w:sz w:val="24"/>
          <w:szCs w:val="24"/>
          <w:highlight w:val="none"/>
          <w:lang w:val="zh-TW" w:eastAsia="zh-TW" w:bidi="zh-TW"/>
        </w:rPr>
      </w:pPr>
      <w:r>
        <w:rPr>
          <w:rFonts w:hint="eastAsia" w:ascii="宋体" w:hAnsi="宋体" w:eastAsia="宋体" w:cs="宋体"/>
          <w:sz w:val="24"/>
          <w:szCs w:val="24"/>
          <w:highlight w:val="none"/>
          <w:lang w:val="zh-TW" w:eastAsia="zh-TW" w:bidi="zh-TW"/>
        </w:rPr>
        <w:t>我单位（公司）郑重承诺</w:t>
      </w:r>
      <w:r>
        <w:rPr>
          <w:rFonts w:ascii="宋体" w:hAnsi="宋体" w:eastAsia="宋体" w:cs="宋体"/>
          <w:sz w:val="24"/>
          <w:szCs w:val="24"/>
          <w:highlight w:val="none"/>
          <w:lang w:val="zh-TW" w:eastAsia="zh-TW" w:bidi="zh-TW"/>
        </w:rPr>
        <w:t>：</w:t>
      </w:r>
    </w:p>
    <w:p>
      <w:pPr>
        <w:tabs>
          <w:tab w:val="left" w:pos="502"/>
        </w:tabs>
        <w:spacing w:line="360" w:lineRule="auto"/>
        <w:ind w:firstLine="480" w:firstLineChars="200"/>
        <w:jc w:val="left"/>
        <w:rPr>
          <w:rFonts w:ascii="宋体" w:hAnsi="宋体" w:eastAsia="宋体" w:cs="宋体"/>
          <w:sz w:val="24"/>
          <w:szCs w:val="24"/>
          <w:highlight w:val="none"/>
          <w:lang w:val="zh-TW" w:eastAsia="zh-TW" w:bidi="zh-TW"/>
        </w:rPr>
      </w:pPr>
      <w:r>
        <w:rPr>
          <w:rFonts w:ascii="宋体" w:hAnsi="宋体" w:eastAsia="宋体" w:cs="宋体"/>
          <w:sz w:val="24"/>
          <w:szCs w:val="24"/>
          <w:highlight w:val="none"/>
          <w:lang w:val="zh-TW" w:eastAsia="zh-TW" w:bidi="zh-TW"/>
        </w:rPr>
        <w:t>1</w:t>
      </w:r>
      <w:r>
        <w:rPr>
          <w:rFonts w:hint="eastAsia" w:ascii="宋体" w:hAnsi="宋体" w:eastAsia="宋体" w:cs="宋体"/>
          <w:sz w:val="24"/>
          <w:szCs w:val="24"/>
          <w:highlight w:val="none"/>
          <w:lang w:val="zh-TW" w:eastAsia="zh-TW" w:bidi="zh-TW"/>
        </w:rPr>
        <w:t>、我单位（公司）具有</w:t>
      </w:r>
      <w:r>
        <w:rPr>
          <w:rFonts w:ascii="宋体" w:hAnsi="宋体" w:eastAsia="宋体" w:cs="宋体"/>
          <w:sz w:val="24"/>
          <w:szCs w:val="24"/>
          <w:highlight w:val="none"/>
          <w:lang w:val="zh-TW" w:eastAsia="zh-TW" w:bidi="zh-TW"/>
        </w:rPr>
        <w:t>良好的商业信誉和健全的财务会计制度</w:t>
      </w:r>
      <w:r>
        <w:rPr>
          <w:rFonts w:hint="eastAsia" w:ascii="宋体" w:hAnsi="宋体" w:eastAsia="宋体" w:cs="宋体"/>
          <w:sz w:val="24"/>
          <w:szCs w:val="24"/>
          <w:highlight w:val="none"/>
          <w:lang w:val="zh-TW" w:eastAsia="zh-TW" w:bidi="zh-TW"/>
        </w:rPr>
        <w:t>；</w:t>
      </w:r>
    </w:p>
    <w:p>
      <w:pPr>
        <w:tabs>
          <w:tab w:val="left" w:pos="502"/>
        </w:tabs>
        <w:spacing w:line="360" w:lineRule="auto"/>
        <w:ind w:firstLine="480" w:firstLineChars="200"/>
        <w:jc w:val="left"/>
        <w:rPr>
          <w:rFonts w:ascii="宋体" w:hAnsi="宋体" w:eastAsia="宋体" w:cs="宋体"/>
          <w:sz w:val="24"/>
          <w:szCs w:val="24"/>
          <w:highlight w:val="none"/>
          <w:lang w:val="zh-TW" w:eastAsia="zh-TW" w:bidi="zh-TW"/>
        </w:rPr>
      </w:pPr>
      <w:r>
        <w:rPr>
          <w:rFonts w:ascii="宋体" w:hAnsi="宋体" w:eastAsia="宋体" w:cs="宋体"/>
          <w:sz w:val="24"/>
          <w:szCs w:val="24"/>
          <w:highlight w:val="none"/>
          <w:lang w:val="zh-TW" w:eastAsia="zh-TW" w:bidi="zh-TW"/>
        </w:rPr>
        <w:t>2</w:t>
      </w:r>
      <w:r>
        <w:rPr>
          <w:rFonts w:hint="eastAsia" w:ascii="宋体" w:hAnsi="宋体" w:eastAsia="宋体" w:cs="宋体"/>
          <w:sz w:val="24"/>
          <w:szCs w:val="24"/>
          <w:highlight w:val="none"/>
          <w:lang w:val="zh-TW" w:eastAsia="zh-TW" w:bidi="zh-TW"/>
        </w:rPr>
        <w:t>、我单位依法</w:t>
      </w:r>
      <w:r>
        <w:rPr>
          <w:rFonts w:ascii="宋体" w:hAnsi="宋体" w:eastAsia="宋体" w:cs="宋体"/>
          <w:sz w:val="24"/>
          <w:szCs w:val="24"/>
          <w:highlight w:val="none"/>
          <w:lang w:val="zh-TW" w:eastAsia="zh-TW" w:bidi="zh-TW"/>
        </w:rPr>
        <w:t>缴纳税收和社会保障资金且有相关记录</w:t>
      </w:r>
    </w:p>
    <w:p>
      <w:pPr>
        <w:tabs>
          <w:tab w:val="left" w:pos="502"/>
        </w:tabs>
        <w:spacing w:line="360" w:lineRule="auto"/>
        <w:ind w:firstLine="352" w:firstLineChars="147"/>
        <w:rPr>
          <w:rFonts w:ascii="宋体" w:hAnsi="宋体" w:eastAsia="宋体" w:cs="宋体"/>
          <w:sz w:val="24"/>
          <w:szCs w:val="24"/>
          <w:highlight w:val="none"/>
          <w:lang w:val="zh-TW" w:eastAsia="zh-TW" w:bidi="zh-TW"/>
        </w:rPr>
      </w:pPr>
      <w:r>
        <w:rPr>
          <w:rFonts w:hint="eastAsia" w:ascii="宋体" w:hAnsi="宋体" w:eastAsia="宋体" w:cs="宋体"/>
          <w:sz w:val="24"/>
          <w:szCs w:val="24"/>
          <w:highlight w:val="none"/>
          <w:lang w:val="zh-TW" w:eastAsia="zh-TW" w:bidi="zh-TW"/>
        </w:rPr>
        <w:t xml:space="preserve"> </w:t>
      </w:r>
      <w:r>
        <w:rPr>
          <w:rFonts w:ascii="宋体" w:hAnsi="宋体" w:eastAsia="宋体" w:cs="宋体"/>
          <w:sz w:val="24"/>
          <w:szCs w:val="24"/>
          <w:highlight w:val="none"/>
          <w:lang w:val="zh-TW" w:eastAsia="zh-TW" w:bidi="zh-TW"/>
        </w:rPr>
        <w:t>3</w:t>
      </w:r>
      <w:r>
        <w:rPr>
          <w:rFonts w:hint="eastAsia" w:ascii="宋体" w:hAnsi="宋体" w:eastAsia="宋体" w:cs="宋体"/>
          <w:sz w:val="24"/>
          <w:szCs w:val="24"/>
          <w:highlight w:val="none"/>
          <w:lang w:val="zh-TW" w:eastAsia="zh-TW" w:bidi="zh-TW"/>
        </w:rPr>
        <w:t>、如有虚假，我单位（公司）愿意承担《中华</w:t>
      </w:r>
      <w:r>
        <w:rPr>
          <w:rFonts w:ascii="宋体" w:hAnsi="宋体" w:eastAsia="宋体" w:cs="宋体"/>
          <w:sz w:val="24"/>
          <w:szCs w:val="24"/>
          <w:highlight w:val="none"/>
          <w:lang w:val="zh-TW" w:eastAsia="zh-TW" w:bidi="zh-TW"/>
        </w:rPr>
        <w:t>人民共和国</w:t>
      </w:r>
      <w:r>
        <w:rPr>
          <w:rFonts w:hint="eastAsia" w:ascii="宋体" w:hAnsi="宋体" w:eastAsia="宋体" w:cs="宋体"/>
          <w:sz w:val="24"/>
          <w:szCs w:val="24"/>
          <w:highlight w:val="none"/>
          <w:lang w:val="zh-TW" w:eastAsia="zh-TW" w:bidi="zh-TW"/>
        </w:rPr>
        <w:t>政府采购法》第七十七条第一项规定的责任。</w:t>
      </w:r>
    </w:p>
    <w:p>
      <w:pPr>
        <w:tabs>
          <w:tab w:val="left" w:pos="502"/>
        </w:tabs>
        <w:spacing w:line="360" w:lineRule="auto"/>
        <w:ind w:firstLine="472" w:firstLineChars="197"/>
        <w:rPr>
          <w:rFonts w:ascii="宋体" w:hAnsi="宋体" w:eastAsia="宋体" w:cs="宋体"/>
          <w:sz w:val="24"/>
          <w:szCs w:val="24"/>
          <w:highlight w:val="none"/>
          <w:lang w:val="zh-TW" w:eastAsia="zh-TW" w:bidi="zh-TW"/>
        </w:rPr>
      </w:pPr>
    </w:p>
    <w:p>
      <w:pPr>
        <w:tabs>
          <w:tab w:val="left" w:pos="502"/>
        </w:tabs>
        <w:spacing w:line="360" w:lineRule="auto"/>
        <w:ind w:firstLine="472" w:firstLineChars="197"/>
        <w:rPr>
          <w:rFonts w:ascii="宋体" w:hAnsi="宋体" w:eastAsia="宋体" w:cs="宋体"/>
          <w:sz w:val="24"/>
          <w:szCs w:val="24"/>
          <w:highlight w:val="none"/>
          <w:lang w:val="zh-TW" w:eastAsia="zh-TW" w:bidi="zh-TW"/>
        </w:rPr>
      </w:pPr>
      <w:r>
        <w:rPr>
          <w:rFonts w:hint="eastAsia" w:ascii="宋体" w:hAnsi="宋体" w:eastAsia="宋体" w:cs="宋体"/>
          <w:sz w:val="24"/>
          <w:szCs w:val="24"/>
          <w:highlight w:val="none"/>
          <w:lang w:val="zh-TW" w:eastAsia="zh-TW" w:bidi="zh-TW"/>
        </w:rPr>
        <w:t>特此承诺</w:t>
      </w:r>
    </w:p>
    <w:p>
      <w:pPr>
        <w:spacing w:before="312" w:beforeLines="100" w:after="312" w:afterLines="100" w:line="360" w:lineRule="auto"/>
        <w:rPr>
          <w:rFonts w:ascii="宋体" w:hAnsi="宋体" w:eastAsia="宋体" w:cs="宋体"/>
          <w:sz w:val="24"/>
          <w:szCs w:val="24"/>
          <w:highlight w:val="none"/>
          <w:lang w:val="zh-TW" w:eastAsia="zh-TW" w:bidi="zh-TW"/>
        </w:rPr>
      </w:pPr>
      <w:r>
        <w:rPr>
          <w:rFonts w:hint="eastAsia" w:ascii="宋体" w:hAnsi="宋体" w:eastAsia="宋体" w:cs="宋体"/>
          <w:sz w:val="24"/>
          <w:szCs w:val="24"/>
          <w:highlight w:val="none"/>
          <w:lang w:val="zh-TW" w:eastAsia="zh-TW" w:bidi="zh-TW"/>
        </w:rPr>
        <w:t>承诺单位（公司）（加盖公章）：</w:t>
      </w:r>
    </w:p>
    <w:p>
      <w:pPr>
        <w:spacing w:before="312" w:beforeLines="100" w:after="312" w:afterLines="100" w:line="360" w:lineRule="auto"/>
        <w:rPr>
          <w:rFonts w:ascii="宋体" w:hAnsi="宋体" w:eastAsia="宋体" w:cs="宋体"/>
          <w:sz w:val="24"/>
          <w:szCs w:val="24"/>
          <w:highlight w:val="none"/>
          <w:lang w:val="zh-TW" w:eastAsia="zh-TW" w:bidi="zh-TW"/>
        </w:rPr>
      </w:pPr>
      <w:r>
        <w:rPr>
          <w:rFonts w:hint="eastAsia" w:ascii="宋体" w:hAnsi="宋体" w:eastAsia="宋体" w:cs="宋体"/>
          <w:sz w:val="24"/>
          <w:szCs w:val="24"/>
          <w:highlight w:val="none"/>
          <w:lang w:val="zh-TW" w:eastAsia="zh-TW" w:bidi="zh-TW"/>
        </w:rPr>
        <w:t>法定代表人或其委托代理人（签字或盖章）：</w:t>
      </w:r>
    </w:p>
    <w:p>
      <w:pPr>
        <w:rPr>
          <w:rStyle w:val="39"/>
          <w:rFonts w:ascii="宋体" w:hAnsi="宋体" w:cs="宋体"/>
          <w:sz w:val="24"/>
          <w:szCs w:val="24"/>
          <w:highlight w:val="none"/>
        </w:rPr>
      </w:pPr>
      <w:r>
        <w:rPr>
          <w:rFonts w:hint="eastAsia" w:ascii="宋体" w:hAnsi="宋体" w:eastAsia="宋体" w:cs="宋体"/>
          <w:sz w:val="24"/>
          <w:szCs w:val="24"/>
          <w:highlight w:val="none"/>
          <w:lang w:val="zh-TW" w:eastAsia="zh-TW" w:bidi="zh-TW"/>
        </w:rPr>
        <w:t>年    月    日</w:t>
      </w:r>
      <w:r>
        <w:rPr>
          <w:rStyle w:val="39"/>
          <w:rFonts w:hint="eastAsia" w:ascii="宋体" w:hAnsi="宋体" w:cs="宋体"/>
          <w:sz w:val="24"/>
          <w:szCs w:val="24"/>
          <w:highlight w:val="none"/>
          <w:lang w:val="en-US" w:eastAsia="zh-CN"/>
        </w:rPr>
        <w:br w:type="page"/>
      </w:r>
    </w:p>
    <w:p>
      <w:pPr>
        <w:pStyle w:val="2"/>
        <w:rPr>
          <w:highlight w:val="none"/>
        </w:rPr>
      </w:pPr>
    </w:p>
    <w:p>
      <w:pPr>
        <w:numPr>
          <w:ilvl w:val="0"/>
          <w:numId w:val="0"/>
        </w:numPr>
        <w:adjustRightInd w:val="0"/>
        <w:snapToGrid w:val="0"/>
        <w:spacing w:line="480" w:lineRule="exact"/>
        <w:rPr>
          <w:rFonts w:ascii="宋体" w:hAnsi="宋体"/>
          <w:snapToGrid w:val="0"/>
          <w:spacing w:val="12"/>
          <w:kern w:val="0"/>
          <w:sz w:val="24"/>
          <w:szCs w:val="24"/>
          <w:highlight w:val="none"/>
        </w:rPr>
      </w:pPr>
      <w:r>
        <w:rPr>
          <w:rFonts w:hint="eastAsia" w:ascii="宋体" w:hAnsi="宋体"/>
          <w:snapToGrid w:val="0"/>
          <w:spacing w:val="12"/>
          <w:kern w:val="0"/>
          <w:sz w:val="24"/>
          <w:szCs w:val="24"/>
          <w:highlight w:val="none"/>
          <w:lang w:val="en-US" w:eastAsia="zh-CN"/>
        </w:rPr>
        <w:t>4）</w:t>
      </w:r>
      <w:r>
        <w:rPr>
          <w:rFonts w:hint="eastAsia" w:ascii="宋体" w:hAnsi="宋体"/>
          <w:snapToGrid w:val="0"/>
          <w:spacing w:val="12"/>
          <w:kern w:val="0"/>
          <w:sz w:val="24"/>
          <w:szCs w:val="24"/>
          <w:highlight w:val="none"/>
        </w:rPr>
        <w:t>小型或微型企业证明材料</w:t>
      </w:r>
    </w:p>
    <w:p>
      <w:pPr>
        <w:spacing w:line="360" w:lineRule="auto"/>
        <w:jc w:val="center"/>
        <w:rPr>
          <w:rFonts w:ascii="华文中宋" w:hAnsi="华文中宋" w:eastAsia="华文中宋" w:cs="华文中宋"/>
          <w:b/>
          <w:sz w:val="24"/>
          <w:szCs w:val="24"/>
        </w:rPr>
      </w:pPr>
      <w:r>
        <w:rPr>
          <w:rFonts w:hint="eastAsia" w:ascii="华文中宋" w:hAnsi="华文中宋" w:eastAsia="华文中宋" w:cs="华文中宋"/>
          <w:b/>
          <w:sz w:val="24"/>
          <w:szCs w:val="24"/>
        </w:rPr>
        <w:t>中小企业声明函（货物）</w:t>
      </w:r>
    </w:p>
    <w:p>
      <w:pPr>
        <w:spacing w:line="360" w:lineRule="auto"/>
        <w:rPr>
          <w:rFonts w:ascii="华文中宋" w:hAnsi="华文中宋" w:eastAsia="华文中宋" w:cs="华文中宋"/>
          <w:bCs/>
          <w:sz w:val="24"/>
          <w:szCs w:val="24"/>
        </w:rPr>
      </w:pPr>
    </w:p>
    <w:p>
      <w:pPr>
        <w:spacing w:line="360" w:lineRule="auto"/>
        <w:ind w:firstLine="480" w:firstLineChars="200"/>
        <w:rPr>
          <w:rFonts w:ascii="华文中宋" w:hAnsi="华文中宋" w:eastAsia="华文中宋" w:cs="华文中宋"/>
          <w:bCs/>
          <w:sz w:val="24"/>
          <w:szCs w:val="24"/>
        </w:rPr>
      </w:pPr>
      <w:r>
        <w:rPr>
          <w:rFonts w:hint="eastAsia" w:ascii="华文中宋" w:hAnsi="华文中宋" w:eastAsia="华文中宋" w:cs="华文中宋"/>
          <w:bCs/>
          <w:sz w:val="24"/>
          <w:szCs w:val="24"/>
        </w:rPr>
        <w:t>本公司（联合体）郑重声明，根据《政府采购促进中小企业发展管理办法》（财库﹝2020﹞46 号）的规定，本公司（联合体）参加</w:t>
      </w:r>
      <w:r>
        <w:rPr>
          <w:rFonts w:hint="eastAsia" w:ascii="华文中宋" w:hAnsi="华文中宋" w:eastAsia="华文中宋" w:cs="华文中宋"/>
          <w:bCs/>
          <w:sz w:val="24"/>
          <w:szCs w:val="24"/>
          <w:u w:val="single"/>
        </w:rPr>
        <w:t>（单位名称）</w:t>
      </w:r>
      <w:r>
        <w:rPr>
          <w:rFonts w:hint="eastAsia" w:ascii="华文中宋" w:hAnsi="华文中宋" w:eastAsia="华文中宋" w:cs="华文中宋"/>
          <w:bCs/>
          <w:sz w:val="24"/>
          <w:szCs w:val="24"/>
        </w:rPr>
        <w:t>的</w:t>
      </w:r>
      <w:r>
        <w:rPr>
          <w:rFonts w:hint="eastAsia" w:ascii="华文中宋" w:hAnsi="华文中宋" w:eastAsia="华文中宋" w:cs="华文中宋"/>
          <w:bCs/>
          <w:sz w:val="24"/>
          <w:szCs w:val="24"/>
          <w:u w:val="single"/>
        </w:rPr>
        <w:t>（项目名称）</w:t>
      </w:r>
      <w:r>
        <w:rPr>
          <w:rFonts w:hint="eastAsia" w:ascii="华文中宋" w:hAnsi="华文中宋" w:eastAsia="华文中宋" w:cs="华文中宋"/>
          <w:bCs/>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华文中宋" w:hAnsi="华文中宋" w:eastAsia="华文中宋" w:cs="华文中宋"/>
          <w:bCs/>
          <w:sz w:val="24"/>
          <w:szCs w:val="24"/>
        </w:rPr>
      </w:pPr>
      <w:r>
        <w:rPr>
          <w:rFonts w:hint="eastAsia" w:ascii="华文中宋" w:hAnsi="华文中宋" w:eastAsia="华文中宋" w:cs="华文中宋"/>
          <w:bCs/>
          <w:sz w:val="24"/>
          <w:szCs w:val="24"/>
        </w:rPr>
        <w:t>1.</w:t>
      </w:r>
      <w:r>
        <w:rPr>
          <w:rFonts w:hint="eastAsia" w:ascii="华文中宋" w:hAnsi="华文中宋" w:eastAsia="华文中宋" w:cs="华文中宋"/>
          <w:bCs/>
          <w:sz w:val="24"/>
          <w:szCs w:val="24"/>
          <w:u w:val="single"/>
        </w:rPr>
        <w:t xml:space="preserve"> （ 标 的 名 称 ） </w:t>
      </w:r>
      <w:r>
        <w:rPr>
          <w:rFonts w:hint="eastAsia" w:ascii="华文中宋" w:hAnsi="华文中宋" w:eastAsia="华文中宋" w:cs="华文中宋"/>
          <w:bCs/>
          <w:sz w:val="24"/>
          <w:szCs w:val="24"/>
        </w:rPr>
        <w:t>，属于（</w:t>
      </w:r>
      <w:r>
        <w:rPr>
          <w:rFonts w:hint="eastAsia" w:ascii="华文中宋" w:hAnsi="华文中宋" w:eastAsia="华文中宋" w:cs="华文中宋"/>
          <w:bCs/>
          <w:sz w:val="24"/>
          <w:szCs w:val="24"/>
          <w:u w:val="single"/>
        </w:rPr>
        <w:t xml:space="preserve"> 采 购 文 件 中 明 确 的 所 属 行 业 ） </w:t>
      </w:r>
      <w:r>
        <w:rPr>
          <w:rFonts w:hint="eastAsia" w:ascii="华文中宋" w:hAnsi="华文中宋" w:eastAsia="华文中宋" w:cs="华文中宋"/>
          <w:bCs/>
          <w:sz w:val="24"/>
          <w:szCs w:val="24"/>
        </w:rPr>
        <w:t>行业；制造商为</w:t>
      </w:r>
      <w:r>
        <w:rPr>
          <w:rFonts w:hint="eastAsia" w:ascii="华文中宋" w:hAnsi="华文中宋" w:eastAsia="华文中宋" w:cs="华文中宋"/>
          <w:bCs/>
          <w:sz w:val="24"/>
          <w:szCs w:val="24"/>
          <w:u w:val="single"/>
        </w:rPr>
        <w:t>（企业名称）</w:t>
      </w:r>
      <w:r>
        <w:rPr>
          <w:rFonts w:hint="eastAsia" w:ascii="华文中宋" w:hAnsi="华文中宋" w:eastAsia="华文中宋" w:cs="华文中宋"/>
          <w:bCs/>
          <w:sz w:val="24"/>
          <w:szCs w:val="24"/>
        </w:rPr>
        <w:t>，从业人员</w:t>
      </w:r>
      <w:r>
        <w:rPr>
          <w:rFonts w:hint="eastAsia" w:ascii="华文中宋" w:hAnsi="华文中宋" w:eastAsia="华文中宋" w:cs="华文中宋"/>
          <w:bCs/>
          <w:sz w:val="24"/>
          <w:szCs w:val="24"/>
          <w:u w:val="single"/>
        </w:rPr>
        <w:t xml:space="preserve"> </w:t>
      </w:r>
      <w:r>
        <w:rPr>
          <w:rFonts w:hint="eastAsia" w:ascii="华文中宋" w:hAnsi="华文中宋" w:eastAsia="华文中宋" w:cs="华文中宋"/>
          <w:bCs/>
          <w:sz w:val="24"/>
          <w:szCs w:val="24"/>
          <w:u w:val="single"/>
        </w:rPr>
        <w:tab/>
      </w:r>
      <w:r>
        <w:rPr>
          <w:rFonts w:hint="eastAsia" w:ascii="华文中宋" w:hAnsi="华文中宋" w:eastAsia="华文中宋" w:cs="华文中宋"/>
          <w:bCs/>
          <w:sz w:val="24"/>
          <w:szCs w:val="24"/>
        </w:rPr>
        <w:t>人，营业收入为</w:t>
      </w:r>
      <w:r>
        <w:rPr>
          <w:rFonts w:hint="eastAsia" w:ascii="华文中宋" w:hAnsi="华文中宋" w:eastAsia="华文中宋" w:cs="华文中宋"/>
          <w:bCs/>
          <w:sz w:val="24"/>
          <w:szCs w:val="24"/>
          <w:u w:val="single"/>
        </w:rPr>
        <w:t xml:space="preserve"> </w:t>
      </w:r>
      <w:r>
        <w:rPr>
          <w:rFonts w:hint="eastAsia" w:ascii="华文中宋" w:hAnsi="华文中宋" w:eastAsia="华文中宋" w:cs="华文中宋"/>
          <w:bCs/>
          <w:sz w:val="24"/>
          <w:szCs w:val="24"/>
          <w:u w:val="single"/>
        </w:rPr>
        <w:tab/>
      </w:r>
      <w:r>
        <w:rPr>
          <w:rFonts w:hint="eastAsia" w:ascii="华文中宋" w:hAnsi="华文中宋" w:eastAsia="华文中宋" w:cs="华文中宋"/>
          <w:bCs/>
          <w:sz w:val="24"/>
          <w:szCs w:val="24"/>
        </w:rPr>
        <w:t>万元，资产总额为</w:t>
      </w:r>
      <w:r>
        <w:rPr>
          <w:rFonts w:hint="eastAsia" w:ascii="华文中宋" w:hAnsi="华文中宋" w:eastAsia="华文中宋" w:cs="华文中宋"/>
          <w:bCs/>
          <w:sz w:val="24"/>
          <w:szCs w:val="24"/>
          <w:u w:val="single"/>
        </w:rPr>
        <w:t xml:space="preserve"> </w:t>
      </w:r>
      <w:r>
        <w:rPr>
          <w:rFonts w:hint="eastAsia" w:ascii="华文中宋" w:hAnsi="华文中宋" w:eastAsia="华文中宋" w:cs="华文中宋"/>
          <w:bCs/>
          <w:sz w:val="24"/>
          <w:szCs w:val="24"/>
          <w:u w:val="single"/>
        </w:rPr>
        <w:tab/>
      </w:r>
      <w:r>
        <w:rPr>
          <w:rFonts w:hint="eastAsia" w:ascii="华文中宋" w:hAnsi="华文中宋" w:eastAsia="华文中宋" w:cs="华文中宋"/>
          <w:bCs/>
          <w:sz w:val="24"/>
          <w:szCs w:val="24"/>
        </w:rPr>
        <w:t>万元，属于</w:t>
      </w:r>
      <w:r>
        <w:rPr>
          <w:rFonts w:hint="eastAsia" w:ascii="华文中宋" w:hAnsi="华文中宋" w:eastAsia="华文中宋" w:cs="华文中宋"/>
          <w:bCs/>
          <w:sz w:val="24"/>
          <w:szCs w:val="24"/>
          <w:u w:val="single"/>
        </w:rPr>
        <w:t>（中型企业、小型企业、微型企业）</w:t>
      </w:r>
      <w:r>
        <w:rPr>
          <w:rFonts w:hint="eastAsia" w:ascii="华文中宋" w:hAnsi="华文中宋" w:eastAsia="华文中宋" w:cs="华文中宋"/>
          <w:bCs/>
          <w:sz w:val="24"/>
          <w:szCs w:val="24"/>
        </w:rPr>
        <w:t>；</w:t>
      </w:r>
    </w:p>
    <w:p>
      <w:pPr>
        <w:spacing w:line="360" w:lineRule="auto"/>
        <w:ind w:firstLine="480" w:firstLineChars="200"/>
        <w:rPr>
          <w:rFonts w:ascii="华文中宋" w:hAnsi="华文中宋" w:eastAsia="华文中宋" w:cs="华文中宋"/>
          <w:bCs/>
          <w:sz w:val="24"/>
          <w:szCs w:val="24"/>
        </w:rPr>
      </w:pPr>
      <w:r>
        <w:rPr>
          <w:rFonts w:hint="eastAsia" w:ascii="华文中宋" w:hAnsi="华文中宋" w:eastAsia="华文中宋" w:cs="华文中宋"/>
          <w:bCs/>
          <w:sz w:val="24"/>
          <w:szCs w:val="24"/>
        </w:rPr>
        <w:t>2.</w:t>
      </w:r>
      <w:r>
        <w:rPr>
          <w:rFonts w:hint="eastAsia" w:ascii="华文中宋" w:hAnsi="华文中宋" w:eastAsia="华文中宋" w:cs="华文中宋"/>
          <w:bCs/>
          <w:sz w:val="24"/>
          <w:szCs w:val="24"/>
          <w:u w:val="single"/>
        </w:rPr>
        <w:t xml:space="preserve"> （ 标 的 名 称 ） </w:t>
      </w:r>
      <w:r>
        <w:rPr>
          <w:rFonts w:hint="eastAsia" w:ascii="华文中宋" w:hAnsi="华文中宋" w:eastAsia="华文中宋" w:cs="华文中宋"/>
          <w:bCs/>
          <w:sz w:val="24"/>
          <w:szCs w:val="24"/>
        </w:rPr>
        <w:t>，属 于</w:t>
      </w:r>
      <w:r>
        <w:rPr>
          <w:rFonts w:hint="eastAsia" w:ascii="华文中宋" w:hAnsi="华文中宋" w:eastAsia="华文中宋" w:cs="华文中宋"/>
          <w:bCs/>
          <w:sz w:val="24"/>
          <w:szCs w:val="24"/>
          <w:u w:val="single"/>
        </w:rPr>
        <w:t xml:space="preserve">（ 采 购 文 件 中 明 确 的 所 属 行 业 ） </w:t>
      </w:r>
      <w:r>
        <w:rPr>
          <w:rFonts w:hint="eastAsia" w:ascii="华文中宋" w:hAnsi="华文中宋" w:eastAsia="华文中宋" w:cs="华文中宋"/>
          <w:bCs/>
          <w:sz w:val="24"/>
          <w:szCs w:val="24"/>
        </w:rPr>
        <w:t>行业；制造商为</w:t>
      </w:r>
      <w:r>
        <w:rPr>
          <w:rFonts w:hint="eastAsia" w:ascii="华文中宋" w:hAnsi="华文中宋" w:eastAsia="华文中宋" w:cs="华文中宋"/>
          <w:bCs/>
          <w:sz w:val="24"/>
          <w:szCs w:val="24"/>
          <w:u w:val="single"/>
        </w:rPr>
        <w:t>（企业名称）</w:t>
      </w:r>
      <w:r>
        <w:rPr>
          <w:rFonts w:hint="eastAsia" w:ascii="华文中宋" w:hAnsi="华文中宋" w:eastAsia="华文中宋" w:cs="华文中宋"/>
          <w:bCs/>
          <w:sz w:val="24"/>
          <w:szCs w:val="24"/>
        </w:rPr>
        <w:t>，从业人员</w:t>
      </w:r>
      <w:r>
        <w:rPr>
          <w:rFonts w:hint="eastAsia" w:ascii="华文中宋" w:hAnsi="华文中宋" w:eastAsia="华文中宋" w:cs="华文中宋"/>
          <w:bCs/>
          <w:sz w:val="24"/>
          <w:szCs w:val="24"/>
          <w:u w:val="single"/>
        </w:rPr>
        <w:t xml:space="preserve"> </w:t>
      </w:r>
      <w:r>
        <w:rPr>
          <w:rFonts w:hint="eastAsia" w:ascii="华文中宋" w:hAnsi="华文中宋" w:eastAsia="华文中宋" w:cs="华文中宋"/>
          <w:bCs/>
          <w:sz w:val="24"/>
          <w:szCs w:val="24"/>
          <w:u w:val="single"/>
        </w:rPr>
        <w:tab/>
      </w:r>
      <w:r>
        <w:rPr>
          <w:rFonts w:hint="eastAsia" w:ascii="华文中宋" w:hAnsi="华文中宋" w:eastAsia="华文中宋" w:cs="华文中宋"/>
          <w:bCs/>
          <w:sz w:val="24"/>
          <w:szCs w:val="24"/>
        </w:rPr>
        <w:t>人，营业收入为</w:t>
      </w:r>
      <w:r>
        <w:rPr>
          <w:rFonts w:hint="eastAsia" w:ascii="华文中宋" w:hAnsi="华文中宋" w:eastAsia="华文中宋" w:cs="华文中宋"/>
          <w:bCs/>
          <w:sz w:val="24"/>
          <w:szCs w:val="24"/>
          <w:u w:val="single"/>
        </w:rPr>
        <w:t xml:space="preserve"> </w:t>
      </w:r>
      <w:r>
        <w:rPr>
          <w:rFonts w:hint="eastAsia" w:ascii="华文中宋" w:hAnsi="华文中宋" w:eastAsia="华文中宋" w:cs="华文中宋"/>
          <w:bCs/>
          <w:sz w:val="24"/>
          <w:szCs w:val="24"/>
          <w:u w:val="single"/>
        </w:rPr>
        <w:tab/>
      </w:r>
      <w:r>
        <w:rPr>
          <w:rFonts w:hint="eastAsia" w:ascii="华文中宋" w:hAnsi="华文中宋" w:eastAsia="华文中宋" w:cs="华文中宋"/>
          <w:bCs/>
          <w:sz w:val="24"/>
          <w:szCs w:val="24"/>
        </w:rPr>
        <w:t>万元，资产总额为</w:t>
      </w:r>
      <w:r>
        <w:rPr>
          <w:rFonts w:hint="eastAsia" w:ascii="华文中宋" w:hAnsi="华文中宋" w:eastAsia="华文中宋" w:cs="华文中宋"/>
          <w:bCs/>
          <w:sz w:val="24"/>
          <w:szCs w:val="24"/>
          <w:u w:val="single"/>
        </w:rPr>
        <w:t xml:space="preserve"> </w:t>
      </w:r>
      <w:r>
        <w:rPr>
          <w:rFonts w:hint="eastAsia" w:ascii="华文中宋" w:hAnsi="华文中宋" w:eastAsia="华文中宋" w:cs="华文中宋"/>
          <w:bCs/>
          <w:sz w:val="24"/>
          <w:szCs w:val="24"/>
          <w:u w:val="single"/>
        </w:rPr>
        <w:tab/>
      </w:r>
      <w:r>
        <w:rPr>
          <w:rFonts w:hint="eastAsia" w:ascii="华文中宋" w:hAnsi="华文中宋" w:eastAsia="华文中宋" w:cs="华文中宋"/>
          <w:bCs/>
          <w:sz w:val="24"/>
          <w:szCs w:val="24"/>
        </w:rPr>
        <w:t>万元，属于</w:t>
      </w:r>
      <w:r>
        <w:rPr>
          <w:rFonts w:hint="eastAsia" w:ascii="华文中宋" w:hAnsi="华文中宋" w:eastAsia="华文中宋" w:cs="华文中宋"/>
          <w:bCs/>
          <w:sz w:val="24"/>
          <w:szCs w:val="24"/>
          <w:u w:val="single"/>
        </w:rPr>
        <w:t>（中型企业、小型企业、微型企业）</w:t>
      </w:r>
      <w:r>
        <w:rPr>
          <w:rFonts w:hint="eastAsia" w:ascii="华文中宋" w:hAnsi="华文中宋" w:eastAsia="华文中宋" w:cs="华文中宋"/>
          <w:bCs/>
          <w:sz w:val="24"/>
          <w:szCs w:val="24"/>
        </w:rPr>
        <w:t>；</w:t>
      </w:r>
    </w:p>
    <w:p>
      <w:pPr>
        <w:spacing w:line="360" w:lineRule="auto"/>
        <w:ind w:firstLine="480" w:firstLineChars="200"/>
        <w:rPr>
          <w:rFonts w:ascii="华文中宋" w:hAnsi="华文中宋" w:eastAsia="华文中宋" w:cs="华文中宋"/>
          <w:bCs/>
          <w:sz w:val="24"/>
          <w:szCs w:val="24"/>
        </w:rPr>
      </w:pPr>
      <w:r>
        <w:rPr>
          <w:rFonts w:hint="eastAsia" w:ascii="华文中宋" w:hAnsi="华文中宋" w:eastAsia="华文中宋" w:cs="华文中宋"/>
          <w:bCs/>
          <w:sz w:val="24"/>
          <w:szCs w:val="24"/>
        </w:rPr>
        <w:t>……</w:t>
      </w:r>
    </w:p>
    <w:p>
      <w:pPr>
        <w:spacing w:line="360" w:lineRule="auto"/>
        <w:ind w:firstLine="480" w:firstLineChars="200"/>
        <w:rPr>
          <w:rFonts w:ascii="华文中宋" w:hAnsi="华文中宋" w:eastAsia="华文中宋" w:cs="华文中宋"/>
          <w:bCs/>
          <w:sz w:val="24"/>
          <w:szCs w:val="24"/>
        </w:rPr>
      </w:pPr>
      <w:r>
        <w:rPr>
          <w:rFonts w:hint="eastAsia" w:ascii="华文中宋" w:hAnsi="华文中宋" w:eastAsia="华文中宋" w:cs="华文中宋"/>
          <w:bCs/>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华文中宋" w:hAnsi="华文中宋" w:eastAsia="华文中宋" w:cs="华文中宋"/>
          <w:bCs/>
          <w:sz w:val="24"/>
          <w:szCs w:val="24"/>
        </w:rPr>
      </w:pPr>
      <w:r>
        <w:rPr>
          <w:rFonts w:hint="eastAsia" w:ascii="华文中宋" w:hAnsi="华文中宋" w:eastAsia="华文中宋" w:cs="华文中宋"/>
          <w:bCs/>
          <w:sz w:val="24"/>
          <w:szCs w:val="24"/>
        </w:rPr>
        <w:t>本企业对上述声明内容的真实性负责。如有虚假，将依法承担相应责任。</w:t>
      </w:r>
    </w:p>
    <w:p>
      <w:pPr>
        <w:spacing w:line="360" w:lineRule="auto"/>
        <w:ind w:firstLine="7200" w:firstLineChars="3000"/>
        <w:rPr>
          <w:rFonts w:ascii="华文中宋" w:hAnsi="华文中宋" w:eastAsia="华文中宋" w:cs="华文中宋"/>
          <w:bCs/>
          <w:sz w:val="24"/>
          <w:szCs w:val="24"/>
        </w:rPr>
      </w:pPr>
      <w:r>
        <w:rPr>
          <w:rFonts w:hint="eastAsia" w:ascii="华文中宋" w:hAnsi="华文中宋" w:eastAsia="华文中宋" w:cs="华文中宋"/>
          <w:bCs/>
          <w:sz w:val="24"/>
          <w:szCs w:val="24"/>
        </w:rPr>
        <w:t>企业名称（盖章）：</w:t>
      </w:r>
    </w:p>
    <w:p>
      <w:pPr>
        <w:spacing w:line="360" w:lineRule="auto"/>
        <w:ind w:firstLine="7200" w:firstLineChars="3000"/>
        <w:rPr>
          <w:rFonts w:ascii="华文中宋" w:hAnsi="华文中宋" w:eastAsia="华文中宋" w:cs="华文中宋"/>
          <w:bCs/>
          <w:sz w:val="24"/>
          <w:szCs w:val="24"/>
        </w:rPr>
      </w:pPr>
      <w:r>
        <w:rPr>
          <w:rFonts w:hint="eastAsia" w:ascii="华文中宋" w:hAnsi="华文中宋" w:eastAsia="华文中宋" w:cs="华文中宋"/>
          <w:bCs/>
          <w:sz w:val="24"/>
          <w:szCs w:val="24"/>
        </w:rPr>
        <w:t>日期：</w:t>
      </w:r>
    </w:p>
    <w:p>
      <w:pPr>
        <w:spacing w:line="360" w:lineRule="auto"/>
        <w:rPr>
          <w:rFonts w:ascii="华文中宋" w:hAnsi="华文中宋" w:eastAsia="华文中宋" w:cs="华文中宋"/>
          <w:b/>
          <w:szCs w:val="21"/>
        </w:rPr>
      </w:pPr>
    </w:p>
    <w:p>
      <w:pPr>
        <w:spacing w:line="360" w:lineRule="auto"/>
        <w:rPr>
          <w:rFonts w:ascii="华文中宋" w:hAnsi="华文中宋" w:eastAsia="华文中宋" w:cs="华文中宋"/>
          <w:b/>
          <w:szCs w:val="21"/>
        </w:rPr>
      </w:pPr>
    </w:p>
    <w:p>
      <w:pPr>
        <w:spacing w:line="360" w:lineRule="auto"/>
        <w:rPr>
          <w:rFonts w:ascii="华文中宋" w:hAnsi="华文中宋" w:eastAsia="华文中宋" w:cs="华文中宋"/>
          <w:b/>
          <w:szCs w:val="21"/>
        </w:rPr>
      </w:pPr>
      <w:r>
        <w:rPr>
          <w:rFonts w:hint="eastAsia" w:ascii="华文中宋" w:hAnsi="华文中宋" w:eastAsia="华文中宋" w:cs="华文中宋"/>
          <w:b/>
          <w:szCs w:val="21"/>
        </w:rPr>
        <w:t>注：1、从业人员、营业收入、资产总额填报上一年度数据，无上一年度数据的新成立企业可不填报；</w:t>
      </w:r>
    </w:p>
    <w:p>
      <w:pPr>
        <w:spacing w:line="360" w:lineRule="auto"/>
        <w:rPr>
          <w:rFonts w:ascii="华文中宋" w:hAnsi="华文中宋" w:eastAsia="华文中宋" w:cs="华文中宋"/>
          <w:b/>
          <w:szCs w:val="21"/>
        </w:rPr>
      </w:pPr>
      <w:r>
        <w:rPr>
          <w:rFonts w:hint="eastAsia" w:ascii="华文中宋" w:hAnsi="华文中宋" w:eastAsia="华文中宋" w:cs="华文中宋"/>
          <w:b/>
          <w:szCs w:val="21"/>
        </w:rPr>
        <w:t>2、若是中小企业则需提供上述 “ 中小企业声明函 ” ，若不是中小企业则不需要提供。</w:t>
      </w:r>
    </w:p>
    <w:p>
      <w:pPr>
        <w:numPr>
          <w:ilvl w:val="0"/>
          <w:numId w:val="0"/>
        </w:numPr>
        <w:adjustRightInd w:val="0"/>
        <w:snapToGrid w:val="0"/>
        <w:spacing w:line="360" w:lineRule="auto"/>
        <w:ind w:right="28" w:rightChars="0"/>
        <w:jc w:val="left"/>
        <w:rPr>
          <w:rStyle w:val="39"/>
          <w:rFonts w:hint="eastAsia" w:ascii="宋体" w:hAnsi="宋体" w:cs="宋体"/>
          <w:color w:val="auto"/>
          <w:sz w:val="24"/>
          <w:szCs w:val="24"/>
          <w:highlight w:val="none"/>
        </w:rPr>
      </w:pPr>
    </w:p>
    <w:p>
      <w:pPr>
        <w:snapToGrid w:val="0"/>
        <w:spacing w:line="360" w:lineRule="auto"/>
        <w:rPr>
          <w:rFonts w:hint="eastAsia" w:ascii="宋体" w:hAnsi="宋体"/>
          <w:color w:val="auto"/>
          <w:spacing w:val="8"/>
          <w:sz w:val="24"/>
          <w:highlight w:val="none"/>
        </w:rPr>
      </w:pPr>
      <w:r>
        <w:rPr>
          <w:rFonts w:ascii="宋体" w:hAnsi="宋体"/>
          <w:b/>
          <w:snapToGrid w:val="0"/>
          <w:color w:val="auto"/>
          <w:spacing w:val="12"/>
          <w:kern w:val="0"/>
          <w:sz w:val="24"/>
          <w:szCs w:val="24"/>
          <w:highlight w:val="none"/>
        </w:rPr>
        <w:br w:type="page"/>
      </w:r>
    </w:p>
    <w:p>
      <w:pPr>
        <w:adjustRightInd w:val="0"/>
        <w:snapToGrid w:val="0"/>
        <w:spacing w:line="480" w:lineRule="auto"/>
        <w:jc w:val="center"/>
        <w:rPr>
          <w:rFonts w:hint="eastAsia" w:ascii="宋体" w:hAnsi="宋体"/>
          <w:b/>
          <w:snapToGrid w:val="0"/>
          <w:color w:val="auto"/>
          <w:spacing w:val="12"/>
          <w:kern w:val="0"/>
          <w:sz w:val="28"/>
          <w:highlight w:val="none"/>
        </w:rPr>
      </w:pPr>
      <w:r>
        <w:rPr>
          <w:rFonts w:hint="eastAsia" w:ascii="宋体" w:hAnsi="宋体"/>
          <w:b/>
          <w:snapToGrid w:val="0"/>
          <w:color w:val="auto"/>
          <w:spacing w:val="12"/>
          <w:kern w:val="0"/>
          <w:sz w:val="28"/>
          <w:highlight w:val="none"/>
          <w:lang w:eastAsia="zh-CN"/>
        </w:rPr>
        <w:t>七</w:t>
      </w:r>
      <w:r>
        <w:rPr>
          <w:rFonts w:hint="eastAsia" w:ascii="宋体" w:hAnsi="宋体"/>
          <w:b/>
          <w:snapToGrid w:val="0"/>
          <w:color w:val="auto"/>
          <w:spacing w:val="12"/>
          <w:kern w:val="0"/>
          <w:sz w:val="28"/>
          <w:highlight w:val="none"/>
        </w:rPr>
        <w:t>、投标人认为有必要提供的其它资料</w:t>
      </w:r>
    </w:p>
    <w:p>
      <w:pPr>
        <w:numPr>
          <w:ilvl w:val="0"/>
          <w:numId w:val="7"/>
        </w:numPr>
        <w:adjustRightInd w:val="0"/>
        <w:snapToGrid w:val="0"/>
        <w:spacing w:line="480" w:lineRule="exact"/>
        <w:rPr>
          <w:rFonts w:hint="eastAsia" w:ascii="宋体" w:hAnsi="宋体"/>
          <w:snapToGrid w:val="0"/>
          <w:color w:val="auto"/>
          <w:spacing w:val="12"/>
          <w:kern w:val="0"/>
          <w:sz w:val="24"/>
          <w:szCs w:val="24"/>
          <w:highlight w:val="none"/>
        </w:rPr>
      </w:pPr>
      <w:r>
        <w:rPr>
          <w:rFonts w:hint="eastAsia" w:ascii="宋体" w:hAnsi="宋体"/>
          <w:snapToGrid w:val="0"/>
          <w:color w:val="auto"/>
          <w:spacing w:val="12"/>
          <w:kern w:val="0"/>
          <w:sz w:val="24"/>
          <w:szCs w:val="24"/>
          <w:highlight w:val="none"/>
        </w:rPr>
        <w:t>同类业绩表</w:t>
      </w:r>
    </w:p>
    <w:tbl>
      <w:tblPr>
        <w:tblStyle w:val="32"/>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6"/>
        <w:gridCol w:w="1496"/>
        <w:gridCol w:w="1900"/>
        <w:gridCol w:w="1664"/>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78"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r>
              <w:rPr>
                <w:rFonts w:hint="eastAsia" w:ascii="宋体" w:hAnsi="宋体"/>
                <w:snapToGrid w:val="0"/>
                <w:color w:val="auto"/>
                <w:spacing w:val="12"/>
                <w:kern w:val="0"/>
                <w:sz w:val="24"/>
                <w:szCs w:val="24"/>
                <w:highlight w:val="none"/>
              </w:rPr>
              <w:t>序号</w:t>
            </w: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r>
              <w:rPr>
                <w:rFonts w:hint="eastAsia" w:ascii="宋体" w:hAnsi="宋体"/>
                <w:snapToGrid w:val="0"/>
                <w:color w:val="auto"/>
                <w:spacing w:val="12"/>
                <w:kern w:val="0"/>
                <w:sz w:val="24"/>
                <w:szCs w:val="24"/>
                <w:highlight w:val="none"/>
              </w:rPr>
              <w:t>项目名称</w:t>
            </w: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r>
              <w:rPr>
                <w:rFonts w:hint="eastAsia" w:ascii="宋体" w:hAnsi="宋体"/>
                <w:snapToGrid w:val="0"/>
                <w:color w:val="auto"/>
                <w:spacing w:val="12"/>
                <w:kern w:val="0"/>
                <w:sz w:val="24"/>
                <w:szCs w:val="24"/>
                <w:highlight w:val="none"/>
              </w:rPr>
              <w:t>合同金额</w:t>
            </w:r>
          </w:p>
        </w:tc>
        <w:tc>
          <w:tcPr>
            <w:tcW w:w="1900"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r>
              <w:rPr>
                <w:rFonts w:hint="eastAsia" w:ascii="宋体" w:hAnsi="宋体"/>
                <w:snapToGrid w:val="0"/>
                <w:color w:val="auto"/>
                <w:spacing w:val="12"/>
                <w:kern w:val="0"/>
                <w:sz w:val="24"/>
                <w:szCs w:val="24"/>
                <w:highlight w:val="none"/>
              </w:rPr>
              <w:t>合同签订时间</w:t>
            </w:r>
          </w:p>
        </w:tc>
        <w:tc>
          <w:tcPr>
            <w:tcW w:w="1664"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r>
              <w:rPr>
                <w:rFonts w:hint="eastAsia" w:ascii="宋体" w:hAnsi="宋体"/>
                <w:snapToGrid w:val="0"/>
                <w:color w:val="auto"/>
                <w:spacing w:val="12"/>
                <w:kern w:val="0"/>
                <w:sz w:val="24"/>
                <w:szCs w:val="24"/>
                <w:highlight w:val="none"/>
              </w:rPr>
              <w:t>业主单位</w:t>
            </w:r>
          </w:p>
        </w:tc>
        <w:tc>
          <w:tcPr>
            <w:tcW w:w="172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r>
              <w:rPr>
                <w:rFonts w:hint="eastAsia" w:ascii="宋体" w:hAnsi="宋体"/>
                <w:snapToGrid w:val="0"/>
                <w:color w:val="auto"/>
                <w:spacing w:val="12"/>
                <w:kern w:val="0"/>
                <w:sz w:val="24"/>
                <w:szCs w:val="24"/>
                <w:highlight w:val="none"/>
              </w:rPr>
              <w:t>业主单位联系人及电话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78"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900"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664"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72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78"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900"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664"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72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78"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900"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664"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72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78"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900"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664"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72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78"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900"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664"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72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78"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900"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664"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72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78"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49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900"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664"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c>
          <w:tcPr>
            <w:tcW w:w="1726" w:type="dxa"/>
            <w:noWrap w:val="0"/>
            <w:vAlign w:val="center"/>
          </w:tcPr>
          <w:p>
            <w:pPr>
              <w:adjustRightInd w:val="0"/>
              <w:snapToGrid w:val="0"/>
              <w:jc w:val="center"/>
              <w:rPr>
                <w:rFonts w:hint="eastAsia" w:ascii="宋体" w:hAnsi="宋体"/>
                <w:snapToGrid w:val="0"/>
                <w:color w:val="auto"/>
                <w:spacing w:val="12"/>
                <w:kern w:val="0"/>
                <w:sz w:val="24"/>
                <w:szCs w:val="24"/>
                <w:highlight w:val="none"/>
              </w:rPr>
            </w:pPr>
          </w:p>
        </w:tc>
      </w:tr>
    </w:tbl>
    <w:p>
      <w:pPr>
        <w:adjustRightInd w:val="0"/>
        <w:snapToGrid w:val="0"/>
        <w:spacing w:line="480" w:lineRule="exact"/>
        <w:rPr>
          <w:rFonts w:hint="eastAsia" w:ascii="宋体" w:hAnsi="宋体"/>
          <w:snapToGrid w:val="0"/>
          <w:color w:val="auto"/>
          <w:spacing w:val="12"/>
          <w:kern w:val="0"/>
          <w:sz w:val="24"/>
          <w:szCs w:val="24"/>
          <w:highlight w:val="none"/>
        </w:rPr>
      </w:pPr>
    </w:p>
    <w:p>
      <w:pPr>
        <w:adjustRightInd w:val="0"/>
        <w:snapToGrid w:val="0"/>
        <w:spacing w:line="480" w:lineRule="exact"/>
        <w:rPr>
          <w:rFonts w:hint="eastAsia" w:ascii="宋体" w:hAnsi="宋体"/>
          <w:snapToGrid w:val="0"/>
          <w:color w:val="auto"/>
          <w:spacing w:val="12"/>
          <w:kern w:val="0"/>
          <w:sz w:val="24"/>
          <w:szCs w:val="24"/>
          <w:highlight w:val="none"/>
        </w:rPr>
      </w:pPr>
      <w:r>
        <w:rPr>
          <w:rFonts w:hint="eastAsia" w:ascii="宋体" w:hAnsi="宋体"/>
          <w:snapToGrid w:val="0"/>
          <w:color w:val="auto"/>
          <w:spacing w:val="12"/>
          <w:kern w:val="0"/>
          <w:sz w:val="24"/>
          <w:szCs w:val="24"/>
          <w:highlight w:val="none"/>
        </w:rPr>
        <w:t>注：业绩证明材料。需提供</w:t>
      </w:r>
      <w:r>
        <w:rPr>
          <w:rFonts w:hint="eastAsia" w:ascii="宋体" w:hAnsi="宋体"/>
          <w:snapToGrid w:val="0"/>
          <w:color w:val="auto"/>
          <w:spacing w:val="12"/>
          <w:kern w:val="0"/>
          <w:sz w:val="24"/>
          <w:szCs w:val="24"/>
          <w:highlight w:val="none"/>
          <w:lang w:eastAsia="zh-CN"/>
        </w:rPr>
        <w:t>中标（或成交）通知书和</w:t>
      </w:r>
      <w:r>
        <w:rPr>
          <w:rFonts w:hint="eastAsia" w:ascii="宋体" w:hAnsi="宋体"/>
          <w:snapToGrid w:val="0"/>
          <w:color w:val="auto"/>
          <w:spacing w:val="12"/>
          <w:kern w:val="0"/>
          <w:sz w:val="24"/>
          <w:szCs w:val="24"/>
          <w:highlight w:val="none"/>
        </w:rPr>
        <w:t>合同</w:t>
      </w:r>
      <w:r>
        <w:rPr>
          <w:rFonts w:hint="eastAsia" w:ascii="宋体" w:hAnsi="宋体"/>
          <w:snapToGrid w:val="0"/>
          <w:color w:val="auto"/>
          <w:spacing w:val="12"/>
          <w:kern w:val="0"/>
          <w:sz w:val="24"/>
          <w:szCs w:val="24"/>
          <w:highlight w:val="none"/>
          <w:lang w:eastAsia="zh-CN"/>
        </w:rPr>
        <w:t>（</w:t>
      </w:r>
      <w:r>
        <w:rPr>
          <w:rFonts w:hint="eastAsia" w:ascii="宋体" w:hAnsi="宋体"/>
          <w:snapToGrid w:val="0"/>
          <w:color w:val="auto"/>
          <w:spacing w:val="12"/>
          <w:kern w:val="0"/>
          <w:sz w:val="24"/>
          <w:szCs w:val="24"/>
          <w:highlight w:val="none"/>
          <w:lang w:val="en-US" w:eastAsia="zh-CN"/>
        </w:rPr>
        <w:t>或协议书</w:t>
      </w:r>
      <w:r>
        <w:rPr>
          <w:rFonts w:hint="eastAsia" w:ascii="宋体" w:hAnsi="宋体"/>
          <w:snapToGrid w:val="0"/>
          <w:color w:val="auto"/>
          <w:spacing w:val="12"/>
          <w:kern w:val="0"/>
          <w:sz w:val="24"/>
          <w:szCs w:val="24"/>
          <w:highlight w:val="none"/>
          <w:lang w:eastAsia="zh-CN"/>
        </w:rPr>
        <w:t>）</w:t>
      </w:r>
      <w:r>
        <w:rPr>
          <w:rFonts w:hint="eastAsia" w:ascii="宋体" w:hAnsi="宋体"/>
          <w:snapToGrid w:val="0"/>
          <w:color w:val="auto"/>
          <w:spacing w:val="12"/>
          <w:kern w:val="0"/>
          <w:sz w:val="24"/>
          <w:szCs w:val="24"/>
          <w:highlight w:val="none"/>
          <w:lang w:val="en-US" w:eastAsia="zh-CN"/>
        </w:rPr>
        <w:t>复印件</w:t>
      </w:r>
      <w:r>
        <w:rPr>
          <w:rFonts w:hint="eastAsia" w:ascii="宋体" w:hAnsi="宋体"/>
          <w:snapToGrid w:val="0"/>
          <w:color w:val="auto"/>
          <w:spacing w:val="12"/>
          <w:kern w:val="0"/>
          <w:sz w:val="24"/>
          <w:szCs w:val="24"/>
          <w:highlight w:val="none"/>
        </w:rPr>
        <w:t>，否则不得分。</w:t>
      </w:r>
    </w:p>
    <w:p>
      <w:pPr>
        <w:adjustRightInd w:val="0"/>
        <w:snapToGrid w:val="0"/>
        <w:spacing w:line="480" w:lineRule="auto"/>
        <w:jc w:val="center"/>
        <w:rPr>
          <w:rFonts w:hint="eastAsia" w:ascii="宋体" w:hAnsi="宋体"/>
          <w:b/>
          <w:snapToGrid w:val="0"/>
          <w:color w:val="auto"/>
          <w:spacing w:val="12"/>
          <w:kern w:val="0"/>
          <w:sz w:val="28"/>
          <w:highlight w:val="none"/>
          <w:lang w:val="en-US" w:eastAsia="zh-CN"/>
        </w:rPr>
      </w:pPr>
    </w:p>
    <w:p>
      <w:pPr>
        <w:adjustRightInd w:val="0"/>
        <w:snapToGrid w:val="0"/>
        <w:spacing w:line="480" w:lineRule="auto"/>
        <w:jc w:val="center"/>
        <w:rPr>
          <w:rFonts w:hint="eastAsia" w:ascii="宋体" w:hAnsi="宋体"/>
          <w:b/>
          <w:snapToGrid w:val="0"/>
          <w:color w:val="auto"/>
          <w:spacing w:val="12"/>
          <w:kern w:val="0"/>
          <w:sz w:val="28"/>
          <w:highlight w:val="none"/>
          <w:lang w:val="en-US" w:eastAsia="zh-CN"/>
        </w:rPr>
      </w:pPr>
    </w:p>
    <w:p>
      <w:pPr>
        <w:adjustRightInd w:val="0"/>
        <w:snapToGrid w:val="0"/>
        <w:spacing w:line="480" w:lineRule="auto"/>
        <w:jc w:val="center"/>
        <w:rPr>
          <w:rFonts w:hint="eastAsia" w:ascii="宋体" w:hAnsi="宋体"/>
          <w:b/>
          <w:snapToGrid w:val="0"/>
          <w:color w:val="auto"/>
          <w:spacing w:val="12"/>
          <w:kern w:val="0"/>
          <w:sz w:val="28"/>
          <w:highlight w:val="none"/>
          <w:lang w:val="en-US" w:eastAsia="zh-CN"/>
        </w:rPr>
      </w:pPr>
    </w:p>
    <w:p>
      <w:pPr>
        <w:adjustRightInd w:val="0"/>
        <w:snapToGrid w:val="0"/>
        <w:spacing w:line="480" w:lineRule="auto"/>
        <w:jc w:val="center"/>
        <w:rPr>
          <w:rFonts w:hint="eastAsia" w:ascii="宋体" w:hAnsi="宋体"/>
          <w:b/>
          <w:snapToGrid w:val="0"/>
          <w:color w:val="auto"/>
          <w:spacing w:val="12"/>
          <w:kern w:val="0"/>
          <w:sz w:val="28"/>
          <w:highlight w:val="none"/>
        </w:rPr>
      </w:pPr>
      <w:r>
        <w:rPr>
          <w:rFonts w:hint="eastAsia" w:ascii="宋体" w:hAnsi="宋体"/>
          <w:b/>
          <w:snapToGrid w:val="0"/>
          <w:color w:val="auto"/>
          <w:spacing w:val="12"/>
          <w:kern w:val="0"/>
          <w:sz w:val="28"/>
          <w:highlight w:val="none"/>
          <w:lang w:val="en-US" w:eastAsia="zh-CN"/>
        </w:rPr>
        <w:t>八</w:t>
      </w:r>
      <w:r>
        <w:rPr>
          <w:rFonts w:hint="eastAsia" w:ascii="宋体" w:hAnsi="宋体"/>
          <w:b/>
          <w:snapToGrid w:val="0"/>
          <w:color w:val="auto"/>
          <w:spacing w:val="12"/>
          <w:kern w:val="0"/>
          <w:sz w:val="28"/>
          <w:highlight w:val="none"/>
        </w:rPr>
        <w:t>、技术文件</w:t>
      </w:r>
    </w:p>
    <w:p>
      <w:pPr>
        <w:keepNext w:val="0"/>
        <w:keepLines w:val="0"/>
        <w:pageBreakBefore w:val="0"/>
        <w:widowControl w:val="0"/>
        <w:kinsoku/>
        <w:wordWrap/>
        <w:overflowPunct/>
        <w:topLinePunct w:val="0"/>
        <w:autoSpaceDE/>
        <w:autoSpaceDN/>
        <w:bidi w:val="0"/>
        <w:adjustRightInd w:val="0"/>
        <w:snapToGrid w:val="0"/>
        <w:spacing w:line="360" w:lineRule="auto"/>
        <w:ind w:right="28"/>
        <w:textAlignment w:val="auto"/>
        <w:rPr>
          <w:rFonts w:hint="eastAsia" w:ascii="宋体" w:hAnsi="宋体" w:eastAsia="宋体" w:cs="宋体"/>
          <w:b w:val="0"/>
          <w:bCs/>
          <w:color w:val="auto"/>
          <w:spacing w:val="8"/>
          <w:sz w:val="28"/>
          <w:szCs w:val="28"/>
          <w:highlight w:val="none"/>
        </w:rPr>
      </w:pPr>
      <w:r>
        <w:rPr>
          <w:rFonts w:hint="eastAsia" w:ascii="宋体" w:hAnsi="宋体" w:eastAsia="宋体" w:cs="宋体"/>
          <w:b w:val="0"/>
          <w:bCs/>
          <w:color w:val="auto"/>
          <w:spacing w:val="8"/>
          <w:sz w:val="28"/>
          <w:szCs w:val="28"/>
          <w:highlight w:val="none"/>
        </w:rPr>
        <w:t>1）所报产品性能、技术参数说明、所投产品必须符合有关要求。</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color w:val="auto"/>
          <w:spacing w:val="8"/>
          <w:sz w:val="28"/>
          <w:szCs w:val="28"/>
          <w:highlight w:val="none"/>
        </w:rPr>
      </w:pPr>
      <w:r>
        <w:rPr>
          <w:rFonts w:hint="eastAsia" w:ascii="宋体" w:hAnsi="宋体" w:eastAsia="宋体" w:cs="宋体"/>
          <w:b w:val="0"/>
          <w:bCs/>
          <w:color w:val="auto"/>
          <w:spacing w:val="8"/>
          <w:sz w:val="28"/>
          <w:szCs w:val="28"/>
          <w:highlight w:val="none"/>
          <w:lang w:val="en-US" w:eastAsia="zh-CN"/>
        </w:rPr>
        <w:t>2</w:t>
      </w:r>
      <w:r>
        <w:rPr>
          <w:rFonts w:hint="eastAsia" w:ascii="宋体" w:hAnsi="宋体" w:eastAsia="宋体" w:cs="宋体"/>
          <w:b w:val="0"/>
          <w:bCs/>
          <w:color w:val="auto"/>
          <w:spacing w:val="8"/>
          <w:sz w:val="28"/>
          <w:szCs w:val="28"/>
          <w:highlight w:val="none"/>
        </w:rPr>
        <w:t>）其他资料。</w:t>
      </w:r>
    </w:p>
    <w:p>
      <w:pPr>
        <w:adjustRightInd w:val="0"/>
        <w:snapToGrid w:val="0"/>
        <w:spacing w:line="480" w:lineRule="exact"/>
        <w:rPr>
          <w:rFonts w:hint="eastAsia" w:ascii="宋体" w:hAnsi="宋体" w:eastAsia="宋体" w:cs="宋体"/>
          <w:b w:val="0"/>
          <w:bCs/>
          <w:snapToGrid w:val="0"/>
          <w:color w:val="auto"/>
          <w:spacing w:val="12"/>
          <w:kern w:val="0"/>
          <w:sz w:val="28"/>
          <w:szCs w:val="28"/>
          <w:highlight w:val="none"/>
          <w:lang w:val="en-US" w:eastAsia="zh-CN"/>
        </w:rPr>
      </w:pPr>
      <w:r>
        <w:rPr>
          <w:rFonts w:ascii="宋体" w:hAnsi="宋体"/>
          <w:b/>
          <w:snapToGrid w:val="0"/>
          <w:color w:val="auto"/>
          <w:spacing w:val="12"/>
          <w:kern w:val="0"/>
          <w:sz w:val="28"/>
          <w:highlight w:val="none"/>
        </w:rPr>
        <w:br w:type="page"/>
      </w:r>
      <w:bookmarkStart w:id="15" w:name="_Toc16576"/>
      <w:r>
        <w:rPr>
          <w:rFonts w:hint="eastAsia" w:ascii="宋体" w:hAnsi="宋体" w:eastAsia="宋体" w:cs="宋体"/>
          <w:b w:val="0"/>
          <w:bCs/>
          <w:snapToGrid w:val="0"/>
          <w:color w:val="auto"/>
          <w:spacing w:val="12"/>
          <w:kern w:val="0"/>
          <w:sz w:val="28"/>
          <w:szCs w:val="28"/>
          <w:highlight w:val="none"/>
          <w:lang w:val="en-US" w:eastAsia="zh-CN"/>
        </w:rPr>
        <w:t>第二部分  技术部分（暗标部分）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snapToGrid w:val="0"/>
          <w:color w:val="auto"/>
          <w:spacing w:val="12"/>
          <w:kern w:val="0"/>
          <w:sz w:val="28"/>
          <w:szCs w:val="28"/>
          <w:highlight w:val="none"/>
          <w:lang w:eastAsia="zh-CN"/>
        </w:rPr>
        <w:t>一</w:t>
      </w:r>
      <w:r>
        <w:rPr>
          <w:rFonts w:hint="eastAsia" w:ascii="宋体" w:hAnsi="宋体" w:eastAsia="宋体" w:cs="宋体"/>
          <w:b w:val="0"/>
          <w:bCs/>
          <w:snapToGrid w:val="0"/>
          <w:color w:val="auto"/>
          <w:spacing w:val="12"/>
          <w:kern w:val="0"/>
          <w:sz w:val="28"/>
          <w:szCs w:val="28"/>
          <w:highlight w:val="none"/>
        </w:rPr>
        <w:t>、</w:t>
      </w:r>
      <w:r>
        <w:rPr>
          <w:rFonts w:hint="eastAsia" w:ascii="宋体" w:hAnsi="宋体" w:eastAsia="宋体" w:cs="宋体"/>
          <w:b w:val="0"/>
          <w:bCs/>
          <w:color w:val="auto"/>
          <w:spacing w:val="12"/>
          <w:sz w:val="28"/>
          <w:szCs w:val="28"/>
          <w:highlight w:val="none"/>
        </w:rPr>
        <w:t>投标偏离表</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lang w:val="en-US" w:eastAsia="zh-CN"/>
        </w:rPr>
        <w:t>1</w:t>
      </w:r>
      <w:r>
        <w:rPr>
          <w:rFonts w:hint="eastAsia" w:ascii="宋体" w:hAnsi="宋体" w:eastAsia="宋体" w:cs="宋体"/>
          <w:b w:val="0"/>
          <w:bCs/>
          <w:color w:val="auto"/>
          <w:spacing w:val="12"/>
          <w:sz w:val="28"/>
          <w:szCs w:val="28"/>
          <w:highlight w:val="none"/>
        </w:rPr>
        <w:t>.1商务偏离表</w:t>
      </w:r>
    </w:p>
    <w:tbl>
      <w:tblPr>
        <w:tblStyle w:val="3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940"/>
        <w:gridCol w:w="2199"/>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序号</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招标商务条款</w:t>
            </w:r>
          </w:p>
        </w:tc>
        <w:tc>
          <w:tcPr>
            <w:tcW w:w="2199"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投标商务条款</w:t>
            </w:r>
          </w:p>
        </w:tc>
        <w:tc>
          <w:tcPr>
            <w:tcW w:w="3333"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1</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2199"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3333"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2</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2199"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3333"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3</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2199"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3333"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4</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2199"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3333"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5</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2199"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3333"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lang w:eastAsia="zh-CN"/>
              </w:rPr>
            </w:pPr>
            <w:r>
              <w:rPr>
                <w:rFonts w:hint="eastAsia" w:ascii="宋体" w:hAnsi="宋体" w:cs="宋体"/>
                <w:b w:val="0"/>
                <w:bCs/>
                <w:color w:val="auto"/>
                <w:spacing w:val="12"/>
                <w:sz w:val="28"/>
                <w:szCs w:val="28"/>
                <w:highlight w:val="none"/>
                <w:lang w:eastAsia="zh-CN"/>
              </w:rPr>
              <w:t>…</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2199"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3333"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r>
    </w:tbl>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pacing w:val="12"/>
          <w:sz w:val="28"/>
          <w:szCs w:val="28"/>
          <w:highlight w:val="none"/>
        </w:rPr>
        <w:t>注：请投标人认真阅读招标文件商务条款，如投标文件中存在偏离，应逐项填写；无偏离也应在上表偏离说明中说明，如投标文件中存在偏离，而在上表中未填写，由此造成的后果由投标人承担。</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color w:val="auto"/>
          <w:spacing w:val="12"/>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color w:val="auto"/>
          <w:spacing w:val="12"/>
          <w:sz w:val="28"/>
          <w:szCs w:val="28"/>
          <w:highlight w:val="none"/>
        </w:rPr>
      </w:pPr>
    </w:p>
    <w:p>
      <w:pPr>
        <w:keepNext w:val="0"/>
        <w:keepLines w:val="0"/>
        <w:pageBreakBefore w:val="0"/>
        <w:widowControl w:val="0"/>
        <w:kinsoku/>
        <w:wordWrap/>
        <w:overflowPunct/>
        <w:topLinePunct w:val="0"/>
        <w:autoSpaceDE/>
        <w:autoSpaceDN/>
        <w:bidi w:val="0"/>
        <w:spacing w:line="360" w:lineRule="auto"/>
        <w:ind w:firstLine="840" w:firstLineChars="300"/>
        <w:jc w:val="center"/>
        <w:textAlignment w:val="auto"/>
        <w:rPr>
          <w:rFonts w:hint="eastAsia" w:ascii="宋体" w:hAnsi="宋体" w:eastAsia="宋体" w:cs="宋体"/>
          <w:b w:val="0"/>
          <w:bCs/>
          <w:color w:val="auto"/>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br w:type="page"/>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lang w:val="en-US" w:eastAsia="zh-CN"/>
        </w:rPr>
        <w:t>1</w:t>
      </w:r>
      <w:r>
        <w:rPr>
          <w:rFonts w:hint="eastAsia" w:ascii="宋体" w:hAnsi="宋体" w:eastAsia="宋体" w:cs="宋体"/>
          <w:b w:val="0"/>
          <w:bCs/>
          <w:color w:val="auto"/>
          <w:spacing w:val="12"/>
          <w:sz w:val="28"/>
          <w:szCs w:val="28"/>
          <w:highlight w:val="none"/>
        </w:rPr>
        <w:t>.2技术偏离表</w:t>
      </w:r>
    </w:p>
    <w:tbl>
      <w:tblPr>
        <w:tblStyle w:val="3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940"/>
        <w:gridCol w:w="2235"/>
        <w:gridCol w:w="3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序号</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招标技术条款</w:t>
            </w:r>
          </w:p>
        </w:tc>
        <w:tc>
          <w:tcPr>
            <w:tcW w:w="2235"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投标技术条款</w:t>
            </w:r>
          </w:p>
        </w:tc>
        <w:tc>
          <w:tcPr>
            <w:tcW w:w="3297"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1</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2235"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3297"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2</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2235"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3297"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3</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2235"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3297"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4</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2235"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3297"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5</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2235"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3297"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snapToGrid w:val="0"/>
              <w:spacing w:line="360" w:lineRule="auto"/>
              <w:ind w:left="-130" w:right="-83"/>
              <w:jc w:val="center"/>
              <w:textAlignment w:val="auto"/>
              <w:rPr>
                <w:rFonts w:hint="eastAsia" w:ascii="宋体" w:hAnsi="宋体" w:eastAsia="宋体" w:cs="宋体"/>
                <w:b w:val="0"/>
                <w:bCs/>
                <w:color w:val="auto"/>
                <w:spacing w:val="12"/>
                <w:sz w:val="28"/>
                <w:szCs w:val="28"/>
                <w:highlight w:val="none"/>
                <w:lang w:eastAsia="zh-CN"/>
              </w:rPr>
            </w:pPr>
            <w:r>
              <w:rPr>
                <w:rFonts w:hint="eastAsia" w:ascii="宋体" w:hAnsi="宋体" w:cs="宋体"/>
                <w:b w:val="0"/>
                <w:bCs/>
                <w:color w:val="auto"/>
                <w:spacing w:val="12"/>
                <w:sz w:val="28"/>
                <w:szCs w:val="28"/>
                <w:highlight w:val="none"/>
                <w:lang w:eastAsia="zh-CN"/>
              </w:rPr>
              <w:t>…</w:t>
            </w:r>
          </w:p>
        </w:tc>
        <w:tc>
          <w:tcPr>
            <w:tcW w:w="2940"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2235"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c>
          <w:tcPr>
            <w:tcW w:w="3297" w:type="dxa"/>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color w:val="auto"/>
                <w:spacing w:val="12"/>
                <w:sz w:val="28"/>
                <w:szCs w:val="28"/>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pacing w:val="12"/>
          <w:sz w:val="28"/>
          <w:szCs w:val="28"/>
          <w:highlight w:val="none"/>
        </w:rPr>
      </w:pPr>
      <w:r>
        <w:rPr>
          <w:rFonts w:hint="eastAsia" w:ascii="宋体" w:hAnsi="宋体" w:eastAsia="宋体" w:cs="宋体"/>
          <w:b w:val="0"/>
          <w:bCs/>
          <w:color w:val="auto"/>
          <w:spacing w:val="12"/>
          <w:sz w:val="28"/>
          <w:szCs w:val="28"/>
          <w:highlight w:val="none"/>
        </w:rPr>
        <w:t>注：请投标人认真阅读招标文件技术条款，如投标文件中存在偏离，应逐项填写；无偏离也应在上表偏离说明中说明，如投标文件中存在偏离，而在上表中未填写，由此造成的后果由投标人承担。</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8"/>
          <w:szCs w:val="28"/>
          <w:highlight w:val="none"/>
        </w:rPr>
      </w:pPr>
      <w:r>
        <w:rPr>
          <w:rFonts w:hint="eastAsia" w:ascii="宋体" w:hAnsi="宋体" w:eastAsia="宋体" w:cs="宋体"/>
          <w:b w:val="0"/>
          <w:bCs/>
          <w:color w:val="auto"/>
          <w:sz w:val="28"/>
          <w:szCs w:val="28"/>
          <w:highlight w:val="none"/>
        </w:rPr>
        <w:br w:type="page"/>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lang w:val="en-US" w:eastAsia="zh-CN"/>
        </w:rPr>
      </w:pPr>
      <w:r>
        <w:rPr>
          <w:rFonts w:hint="eastAsia" w:ascii="宋体" w:hAnsi="宋体" w:eastAsia="宋体" w:cs="宋体"/>
          <w:b w:val="0"/>
          <w:bCs/>
          <w:snapToGrid w:val="0"/>
          <w:color w:val="auto"/>
          <w:spacing w:val="12"/>
          <w:kern w:val="0"/>
          <w:sz w:val="28"/>
          <w:szCs w:val="28"/>
          <w:highlight w:val="none"/>
          <w:lang w:val="en-US" w:eastAsia="zh-CN"/>
        </w:rPr>
        <w:t>二、</w:t>
      </w:r>
      <w:r>
        <w:rPr>
          <w:rFonts w:hint="eastAsia" w:ascii="宋体" w:hAnsi="宋体" w:cs="宋体"/>
          <w:b w:val="0"/>
          <w:bCs/>
          <w:snapToGrid w:val="0"/>
          <w:color w:val="auto"/>
          <w:spacing w:val="12"/>
          <w:kern w:val="0"/>
          <w:sz w:val="28"/>
          <w:szCs w:val="28"/>
          <w:highlight w:val="none"/>
          <w:lang w:val="en-US" w:eastAsia="zh-CN"/>
        </w:rPr>
        <w:t>实施方案</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val="0"/>
          <w:bCs/>
          <w:color w:val="auto"/>
          <w:spacing w:val="8"/>
          <w:sz w:val="28"/>
          <w:szCs w:val="28"/>
          <w:highlight w:val="none"/>
          <w:lang w:eastAsia="zh-CN"/>
        </w:rPr>
      </w:pPr>
      <w:r>
        <w:rPr>
          <w:rFonts w:hint="eastAsia" w:ascii="宋体" w:hAnsi="宋体" w:eastAsia="宋体" w:cs="宋体"/>
          <w:b w:val="0"/>
          <w:bCs/>
          <w:color w:val="auto"/>
          <w:spacing w:val="8"/>
          <w:sz w:val="28"/>
          <w:szCs w:val="28"/>
          <w:highlight w:val="none"/>
        </w:rPr>
        <w:t>针对本项目的合理化</w:t>
      </w:r>
      <w:r>
        <w:rPr>
          <w:rFonts w:hint="eastAsia" w:ascii="宋体" w:hAnsi="宋体" w:cs="宋体"/>
          <w:b w:val="0"/>
          <w:bCs/>
          <w:color w:val="auto"/>
          <w:spacing w:val="8"/>
          <w:sz w:val="28"/>
          <w:szCs w:val="28"/>
          <w:highlight w:val="none"/>
          <w:lang w:val="en-US" w:eastAsia="zh-CN"/>
        </w:rPr>
        <w:t>实施方案</w:t>
      </w:r>
      <w:r>
        <w:rPr>
          <w:rFonts w:hint="eastAsia" w:ascii="宋体" w:hAnsi="宋体" w:eastAsia="宋体" w:cs="宋体"/>
          <w:b w:val="0"/>
          <w:bCs/>
          <w:color w:val="auto"/>
          <w:spacing w:val="8"/>
          <w:sz w:val="28"/>
          <w:szCs w:val="28"/>
          <w:highlight w:val="none"/>
        </w:rPr>
        <w:t>，格式自拟</w:t>
      </w:r>
      <w:r>
        <w:rPr>
          <w:rFonts w:hint="eastAsia" w:ascii="宋体" w:hAnsi="宋体" w:eastAsia="宋体" w:cs="宋体"/>
          <w:b w:val="0"/>
          <w:bCs/>
          <w:color w:val="auto"/>
          <w:spacing w:val="8"/>
          <w:sz w:val="28"/>
          <w:szCs w:val="28"/>
          <w:highlight w:val="none"/>
          <w:lang w:eastAsia="zh-CN"/>
        </w:rPr>
        <w:t>。</w:t>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r>
        <w:rPr>
          <w:rFonts w:hint="eastAsia" w:ascii="宋体" w:hAnsi="宋体" w:eastAsia="宋体" w:cs="宋体"/>
          <w:b w:val="0"/>
          <w:bCs/>
          <w:snapToGrid w:val="0"/>
          <w:color w:val="auto"/>
          <w:spacing w:val="12"/>
          <w:kern w:val="0"/>
          <w:sz w:val="28"/>
          <w:szCs w:val="28"/>
          <w:highlight w:val="none"/>
        </w:rPr>
        <w:br w:type="page"/>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b w:val="0"/>
          <w:bCs/>
          <w:snapToGrid w:val="0"/>
          <w:color w:val="auto"/>
          <w:spacing w:val="12"/>
          <w:kern w:val="0"/>
          <w:sz w:val="28"/>
          <w:szCs w:val="28"/>
          <w:highlight w:val="none"/>
          <w:lang w:val="en-US" w:eastAsia="zh-CN"/>
        </w:rPr>
      </w:pPr>
      <w:r>
        <w:rPr>
          <w:rFonts w:hint="eastAsia" w:ascii="宋体" w:hAnsi="宋体" w:cs="宋体"/>
          <w:b w:val="0"/>
          <w:bCs/>
          <w:snapToGrid w:val="0"/>
          <w:color w:val="auto"/>
          <w:spacing w:val="12"/>
          <w:kern w:val="0"/>
          <w:sz w:val="28"/>
          <w:szCs w:val="28"/>
          <w:highlight w:val="none"/>
          <w:lang w:val="en-US" w:eastAsia="zh-CN"/>
        </w:rPr>
        <w:t>三、产品质量承诺及保证措施</w:t>
      </w:r>
    </w:p>
    <w:p>
      <w:pPr>
        <w:keepNext w:val="0"/>
        <w:keepLines w:val="0"/>
        <w:pageBreakBefore w:val="0"/>
        <w:widowControl w:val="0"/>
        <w:kinsoku/>
        <w:wordWrap/>
        <w:overflowPunct/>
        <w:topLinePunct w:val="0"/>
        <w:autoSpaceDE/>
        <w:autoSpaceDN/>
        <w:bidi w:val="0"/>
        <w:snapToGrid w:val="0"/>
        <w:spacing w:line="360" w:lineRule="auto"/>
        <w:jc w:val="right"/>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val="0"/>
          <w:bCs/>
          <w:snapToGrid w:val="0"/>
          <w:color w:val="auto"/>
          <w:spacing w:val="12"/>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pacing w:val="8"/>
          <w:sz w:val="28"/>
          <w:szCs w:val="28"/>
          <w:highlight w:val="none"/>
        </w:rPr>
      </w:pPr>
      <w:r>
        <w:rPr>
          <w:rFonts w:hint="eastAsia" w:ascii="宋体" w:hAnsi="宋体" w:eastAsia="宋体" w:cs="宋体"/>
          <w:b w:val="0"/>
          <w:bCs/>
          <w:color w:val="auto"/>
          <w:spacing w:val="8"/>
          <w:sz w:val="28"/>
          <w:szCs w:val="28"/>
          <w:highlight w:val="none"/>
          <w:lang w:val="en-US" w:eastAsia="zh-CN"/>
        </w:rPr>
        <w:t>四</w:t>
      </w:r>
      <w:r>
        <w:rPr>
          <w:rFonts w:hint="eastAsia" w:ascii="宋体" w:hAnsi="宋体" w:eastAsia="宋体" w:cs="宋体"/>
          <w:b w:val="0"/>
          <w:bCs/>
          <w:color w:val="auto"/>
          <w:spacing w:val="8"/>
          <w:sz w:val="28"/>
          <w:szCs w:val="28"/>
          <w:highlight w:val="none"/>
        </w:rPr>
        <w:t>、供货安装及调试保证措施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pacing w:val="8"/>
          <w:sz w:val="28"/>
          <w:szCs w:val="28"/>
          <w:highlight w:val="none"/>
        </w:rPr>
      </w:pPr>
      <w:r>
        <w:rPr>
          <w:rFonts w:hint="eastAsia" w:ascii="宋体" w:hAnsi="宋体" w:eastAsia="宋体" w:cs="宋体"/>
          <w:b w:val="0"/>
          <w:bCs/>
          <w:color w:val="auto"/>
          <w:spacing w:val="8"/>
          <w:sz w:val="28"/>
          <w:szCs w:val="28"/>
          <w:highlight w:val="none"/>
        </w:rPr>
        <w:t>格式自拟。</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pacing w:val="8"/>
          <w:sz w:val="28"/>
          <w:szCs w:val="28"/>
          <w:highlight w:val="none"/>
        </w:rPr>
      </w:pPr>
      <w:r>
        <w:rPr>
          <w:rFonts w:hint="eastAsia" w:ascii="宋体" w:hAnsi="宋体" w:eastAsia="宋体" w:cs="宋体"/>
          <w:b w:val="0"/>
          <w:bCs/>
          <w:color w:val="auto"/>
          <w:spacing w:val="8"/>
          <w:sz w:val="28"/>
          <w:szCs w:val="28"/>
          <w:highlight w:val="none"/>
        </w:rPr>
        <w:br w:type="page"/>
      </w:r>
    </w:p>
    <w:p>
      <w:pPr>
        <w:pStyle w:val="2"/>
        <w:jc w:val="center"/>
        <w:rPr>
          <w:rFonts w:hint="eastAsia" w:ascii="宋体" w:hAnsi="宋体" w:eastAsia="宋体" w:cs="宋体"/>
          <w:b w:val="0"/>
          <w:bCs/>
          <w:color w:val="auto"/>
          <w:spacing w:val="8"/>
          <w:kern w:val="2"/>
          <w:sz w:val="28"/>
          <w:szCs w:val="28"/>
          <w:highlight w:val="none"/>
          <w:lang w:val="en-US" w:eastAsia="zh-CN" w:bidi="ar-SA"/>
        </w:rPr>
      </w:pPr>
      <w:r>
        <w:rPr>
          <w:rFonts w:hint="eastAsia" w:ascii="宋体" w:hAnsi="宋体" w:eastAsia="宋体" w:cs="宋体"/>
          <w:b w:val="0"/>
          <w:bCs/>
          <w:color w:val="auto"/>
          <w:spacing w:val="8"/>
          <w:kern w:val="2"/>
          <w:sz w:val="28"/>
          <w:szCs w:val="28"/>
          <w:highlight w:val="none"/>
          <w:lang w:val="en-US" w:eastAsia="zh-CN" w:bidi="ar-SA"/>
        </w:rPr>
        <w:t>五、售后服务承诺及保证措施</w:t>
      </w:r>
    </w:p>
    <w:p>
      <w:pPr>
        <w:rPr>
          <w:rFonts w:hint="eastAsia"/>
          <w:highlight w:val="none"/>
        </w:rPr>
      </w:pPr>
    </w:p>
    <w:p>
      <w:pPr>
        <w:pStyle w:val="3"/>
        <w:rPr>
          <w:rFonts w:hint="eastAsia"/>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Style w:val="65"/>
          <w:rFonts w:hint="eastAsia"/>
          <w:color w:val="auto"/>
          <w:highlight w:val="none"/>
        </w:rPr>
      </w:pPr>
    </w:p>
    <w:p>
      <w:pPr>
        <w:adjustRightInd w:val="0"/>
        <w:snapToGrid w:val="0"/>
        <w:spacing w:line="240" w:lineRule="auto"/>
        <w:jc w:val="center"/>
        <w:outlineLvl w:val="0"/>
        <w:rPr>
          <w:rFonts w:hint="eastAsia" w:ascii="宋体" w:hAnsi="宋体"/>
          <w:snapToGrid w:val="0"/>
          <w:color w:val="auto"/>
          <w:spacing w:val="12"/>
          <w:kern w:val="0"/>
          <w:sz w:val="24"/>
          <w:szCs w:val="24"/>
          <w:highlight w:val="none"/>
        </w:rPr>
      </w:pPr>
      <w:r>
        <w:rPr>
          <w:rStyle w:val="65"/>
          <w:rFonts w:hint="eastAsia"/>
          <w:color w:val="auto"/>
          <w:highlight w:val="none"/>
        </w:rPr>
        <w:t>第四部分</w:t>
      </w:r>
      <w:r>
        <w:rPr>
          <w:rStyle w:val="65"/>
          <w:color w:val="auto"/>
          <w:highlight w:val="none"/>
        </w:rPr>
        <w:t xml:space="preserve">  </w:t>
      </w:r>
      <w:r>
        <w:rPr>
          <w:rStyle w:val="65"/>
          <w:rFonts w:hint="eastAsia"/>
          <w:color w:val="auto"/>
          <w:highlight w:val="none"/>
        </w:rPr>
        <w:t>主要合同条款（参考）</w:t>
      </w:r>
      <w:bookmarkEnd w:id="15"/>
    </w:p>
    <w:p>
      <w:pPr>
        <w:adjustRightInd w:val="0"/>
        <w:snapToGrid w:val="0"/>
        <w:spacing w:line="480" w:lineRule="exact"/>
        <w:rPr>
          <w:rFonts w:hint="eastAsia" w:ascii="宋体" w:hAnsi="宋体"/>
          <w:b/>
          <w:color w:val="auto"/>
          <w:spacing w:val="8"/>
          <w:sz w:val="30"/>
          <w:highlight w:val="none"/>
        </w:rPr>
      </w:pPr>
      <w:r>
        <w:rPr>
          <w:rFonts w:hint="eastAsia" w:ascii="宋体" w:hAnsi="宋体"/>
          <w:snapToGrid w:val="0"/>
          <w:color w:val="auto"/>
          <w:spacing w:val="12"/>
          <w:kern w:val="0"/>
          <w:sz w:val="24"/>
          <w:highlight w:val="none"/>
        </w:rPr>
        <w:t xml:space="preserve">    </w:t>
      </w:r>
    </w:p>
    <w:p>
      <w:pPr>
        <w:tabs>
          <w:tab w:val="left" w:pos="1125"/>
          <w:tab w:val="left" w:pos="3960"/>
        </w:tabs>
        <w:adjustRightInd w:val="0"/>
        <w:snapToGrid w:val="0"/>
        <w:spacing w:line="520" w:lineRule="exact"/>
        <w:ind w:left="3408" w:hanging="2148"/>
        <w:rPr>
          <w:rFonts w:hint="eastAsia" w:ascii="宋体" w:hAnsi="宋体"/>
          <w:color w:val="auto"/>
          <w:spacing w:val="8"/>
          <w:sz w:val="24"/>
          <w:highlight w:val="none"/>
        </w:rPr>
      </w:pPr>
      <w:r>
        <w:rPr>
          <w:rFonts w:hint="eastAsia" w:ascii="宋体" w:hAnsi="宋体"/>
          <w:color w:val="auto"/>
          <w:spacing w:val="8"/>
          <w:sz w:val="24"/>
          <w:highlight w:val="none"/>
        </w:rPr>
        <w:t>第一章</w:t>
      </w:r>
      <w:r>
        <w:rPr>
          <w:rFonts w:ascii="宋体" w:hAnsi="宋体"/>
          <w:color w:val="auto"/>
          <w:spacing w:val="8"/>
          <w:sz w:val="24"/>
          <w:highlight w:val="none"/>
        </w:rPr>
        <w:t xml:space="preserve">       </w:t>
      </w:r>
      <w:r>
        <w:rPr>
          <w:rFonts w:hint="eastAsia" w:ascii="宋体" w:hAnsi="宋体"/>
          <w:color w:val="auto"/>
          <w:spacing w:val="8"/>
          <w:sz w:val="24"/>
          <w:highlight w:val="none"/>
        </w:rPr>
        <w:t>项目概况</w:t>
      </w:r>
    </w:p>
    <w:p>
      <w:pPr>
        <w:tabs>
          <w:tab w:val="left" w:pos="1125"/>
        </w:tabs>
        <w:adjustRightInd w:val="0"/>
        <w:snapToGrid w:val="0"/>
        <w:spacing w:line="520" w:lineRule="exact"/>
        <w:ind w:left="3408" w:hanging="2148"/>
        <w:rPr>
          <w:rFonts w:ascii="宋体" w:hAnsi="宋体"/>
          <w:color w:val="auto"/>
          <w:spacing w:val="8"/>
          <w:sz w:val="24"/>
          <w:highlight w:val="none"/>
        </w:rPr>
      </w:pPr>
      <w:r>
        <w:rPr>
          <w:rFonts w:hint="eastAsia" w:ascii="宋体" w:hAnsi="宋体"/>
          <w:color w:val="auto"/>
          <w:spacing w:val="8"/>
          <w:sz w:val="24"/>
          <w:highlight w:val="none"/>
        </w:rPr>
        <w:t>第二章</w:t>
      </w:r>
      <w:r>
        <w:rPr>
          <w:rFonts w:ascii="宋体" w:hAnsi="宋体"/>
          <w:color w:val="auto"/>
          <w:spacing w:val="8"/>
          <w:sz w:val="24"/>
          <w:highlight w:val="none"/>
        </w:rPr>
        <w:t xml:space="preserve">       </w:t>
      </w:r>
      <w:r>
        <w:rPr>
          <w:rFonts w:hint="eastAsia" w:ascii="宋体" w:hAnsi="宋体"/>
          <w:color w:val="auto"/>
          <w:spacing w:val="8"/>
          <w:sz w:val="24"/>
          <w:highlight w:val="none"/>
        </w:rPr>
        <w:t>承包范围</w:t>
      </w:r>
    </w:p>
    <w:p>
      <w:pPr>
        <w:tabs>
          <w:tab w:val="left" w:pos="1125"/>
        </w:tabs>
        <w:adjustRightInd w:val="0"/>
        <w:snapToGrid w:val="0"/>
        <w:spacing w:line="520" w:lineRule="exact"/>
        <w:ind w:left="3408" w:hanging="2148"/>
        <w:rPr>
          <w:rFonts w:hint="eastAsia" w:ascii="宋体" w:hAnsi="宋体"/>
          <w:color w:val="auto"/>
          <w:spacing w:val="8"/>
          <w:sz w:val="24"/>
          <w:highlight w:val="none"/>
        </w:rPr>
      </w:pPr>
      <w:r>
        <w:rPr>
          <w:rFonts w:hint="eastAsia" w:ascii="宋体" w:hAnsi="宋体"/>
          <w:color w:val="auto"/>
          <w:spacing w:val="8"/>
          <w:sz w:val="24"/>
          <w:highlight w:val="none"/>
        </w:rPr>
        <w:t>第三章</w:t>
      </w:r>
      <w:r>
        <w:rPr>
          <w:rFonts w:ascii="宋体" w:hAnsi="宋体"/>
          <w:color w:val="auto"/>
          <w:spacing w:val="8"/>
          <w:sz w:val="24"/>
          <w:highlight w:val="none"/>
        </w:rPr>
        <w:t xml:space="preserve">       </w:t>
      </w:r>
      <w:r>
        <w:rPr>
          <w:rFonts w:hint="eastAsia" w:ascii="宋体" w:hAnsi="宋体"/>
          <w:color w:val="auto"/>
          <w:spacing w:val="8"/>
          <w:sz w:val="24"/>
          <w:highlight w:val="none"/>
        </w:rPr>
        <w:t xml:space="preserve">供货周期 </w:t>
      </w:r>
    </w:p>
    <w:p>
      <w:pPr>
        <w:tabs>
          <w:tab w:val="left" w:pos="1125"/>
        </w:tabs>
        <w:adjustRightInd w:val="0"/>
        <w:snapToGrid w:val="0"/>
        <w:spacing w:line="520" w:lineRule="exact"/>
        <w:ind w:left="3408" w:hanging="2148"/>
        <w:rPr>
          <w:rFonts w:hint="eastAsia" w:ascii="宋体" w:hAnsi="宋体"/>
          <w:color w:val="auto"/>
          <w:spacing w:val="8"/>
          <w:sz w:val="24"/>
          <w:highlight w:val="none"/>
        </w:rPr>
      </w:pPr>
      <w:r>
        <w:rPr>
          <w:rFonts w:hint="eastAsia" w:ascii="宋体" w:hAnsi="宋体"/>
          <w:color w:val="auto"/>
          <w:spacing w:val="8"/>
          <w:sz w:val="24"/>
          <w:highlight w:val="none"/>
        </w:rPr>
        <w:t>第四章       付款方式</w:t>
      </w:r>
    </w:p>
    <w:p>
      <w:pPr>
        <w:tabs>
          <w:tab w:val="left" w:pos="1125"/>
        </w:tabs>
        <w:adjustRightInd w:val="0"/>
        <w:snapToGrid w:val="0"/>
        <w:spacing w:line="520" w:lineRule="exact"/>
        <w:ind w:left="3408" w:hanging="2148"/>
        <w:rPr>
          <w:rFonts w:ascii="宋体" w:hAnsi="宋体"/>
          <w:color w:val="auto"/>
          <w:spacing w:val="8"/>
          <w:sz w:val="24"/>
          <w:highlight w:val="none"/>
        </w:rPr>
      </w:pPr>
      <w:r>
        <w:rPr>
          <w:rFonts w:hint="eastAsia" w:ascii="宋体" w:hAnsi="宋体"/>
          <w:color w:val="auto"/>
          <w:spacing w:val="8"/>
          <w:sz w:val="24"/>
          <w:highlight w:val="none"/>
        </w:rPr>
        <w:t>第五章</w:t>
      </w:r>
      <w:r>
        <w:rPr>
          <w:rFonts w:ascii="宋体" w:hAnsi="宋体"/>
          <w:color w:val="auto"/>
          <w:spacing w:val="8"/>
          <w:sz w:val="24"/>
          <w:highlight w:val="none"/>
        </w:rPr>
        <w:t xml:space="preserve">       </w:t>
      </w:r>
      <w:r>
        <w:rPr>
          <w:rFonts w:hint="eastAsia" w:ascii="宋体" w:hAnsi="宋体"/>
          <w:color w:val="auto"/>
          <w:spacing w:val="8"/>
          <w:sz w:val="24"/>
          <w:highlight w:val="none"/>
        </w:rPr>
        <w:t>承包方式、造价及造价调整</w:t>
      </w:r>
    </w:p>
    <w:p>
      <w:pPr>
        <w:tabs>
          <w:tab w:val="left" w:pos="1125"/>
        </w:tabs>
        <w:adjustRightInd w:val="0"/>
        <w:snapToGrid w:val="0"/>
        <w:spacing w:line="520" w:lineRule="exact"/>
        <w:ind w:left="3408" w:hanging="2148"/>
        <w:rPr>
          <w:rFonts w:ascii="宋体" w:hAnsi="宋体"/>
          <w:color w:val="auto"/>
          <w:spacing w:val="8"/>
          <w:sz w:val="24"/>
          <w:highlight w:val="none"/>
        </w:rPr>
      </w:pPr>
      <w:r>
        <w:rPr>
          <w:rFonts w:hint="eastAsia" w:ascii="宋体" w:hAnsi="宋体"/>
          <w:color w:val="auto"/>
          <w:spacing w:val="8"/>
          <w:sz w:val="24"/>
          <w:highlight w:val="none"/>
        </w:rPr>
        <w:t>第六章</w:t>
      </w:r>
      <w:r>
        <w:rPr>
          <w:rFonts w:ascii="宋体" w:hAnsi="宋体"/>
          <w:color w:val="auto"/>
          <w:spacing w:val="8"/>
          <w:sz w:val="24"/>
          <w:highlight w:val="none"/>
        </w:rPr>
        <w:t xml:space="preserve">       </w:t>
      </w:r>
      <w:r>
        <w:rPr>
          <w:rFonts w:hint="eastAsia" w:ascii="宋体" w:hAnsi="宋体"/>
          <w:color w:val="auto"/>
          <w:spacing w:val="8"/>
          <w:sz w:val="24"/>
          <w:highlight w:val="none"/>
        </w:rPr>
        <w:t>双方权利与责任</w:t>
      </w:r>
    </w:p>
    <w:p>
      <w:pPr>
        <w:tabs>
          <w:tab w:val="left" w:pos="1125"/>
        </w:tabs>
        <w:adjustRightInd w:val="0"/>
        <w:snapToGrid w:val="0"/>
        <w:spacing w:line="520" w:lineRule="exact"/>
        <w:ind w:left="3408" w:hanging="2148"/>
        <w:rPr>
          <w:rFonts w:hint="eastAsia" w:ascii="宋体" w:hAnsi="宋体"/>
          <w:color w:val="auto"/>
          <w:spacing w:val="8"/>
          <w:sz w:val="24"/>
          <w:highlight w:val="none"/>
        </w:rPr>
      </w:pPr>
      <w:r>
        <w:rPr>
          <w:rFonts w:hint="eastAsia" w:ascii="宋体" w:hAnsi="宋体"/>
          <w:color w:val="auto"/>
          <w:spacing w:val="8"/>
          <w:sz w:val="24"/>
          <w:highlight w:val="none"/>
        </w:rPr>
        <w:t>第七章</w:t>
      </w:r>
      <w:r>
        <w:rPr>
          <w:rFonts w:ascii="宋体" w:hAnsi="宋体"/>
          <w:color w:val="auto"/>
          <w:spacing w:val="8"/>
          <w:sz w:val="24"/>
          <w:highlight w:val="none"/>
        </w:rPr>
        <w:t xml:space="preserve">       </w:t>
      </w:r>
      <w:r>
        <w:rPr>
          <w:rFonts w:hint="eastAsia" w:ascii="宋体" w:hAnsi="宋体"/>
          <w:color w:val="auto"/>
          <w:spacing w:val="8"/>
          <w:sz w:val="24"/>
          <w:highlight w:val="none"/>
        </w:rPr>
        <w:t>供货延期</w:t>
      </w:r>
    </w:p>
    <w:p>
      <w:pPr>
        <w:tabs>
          <w:tab w:val="left" w:pos="1125"/>
        </w:tabs>
        <w:adjustRightInd w:val="0"/>
        <w:snapToGrid w:val="0"/>
        <w:spacing w:line="520" w:lineRule="exact"/>
        <w:ind w:left="3408" w:hanging="2148"/>
        <w:rPr>
          <w:rFonts w:ascii="宋体" w:hAnsi="宋体"/>
          <w:color w:val="auto"/>
          <w:spacing w:val="8"/>
          <w:sz w:val="24"/>
          <w:highlight w:val="none"/>
        </w:rPr>
      </w:pPr>
      <w:r>
        <w:rPr>
          <w:rFonts w:hint="eastAsia" w:ascii="宋体" w:hAnsi="宋体"/>
          <w:color w:val="auto"/>
          <w:spacing w:val="8"/>
          <w:sz w:val="24"/>
          <w:highlight w:val="none"/>
        </w:rPr>
        <w:t>第八章</w:t>
      </w:r>
      <w:r>
        <w:rPr>
          <w:rFonts w:ascii="宋体" w:hAnsi="宋体"/>
          <w:color w:val="auto"/>
          <w:spacing w:val="8"/>
          <w:sz w:val="24"/>
          <w:highlight w:val="none"/>
        </w:rPr>
        <w:t xml:space="preserve">       </w:t>
      </w:r>
      <w:r>
        <w:rPr>
          <w:rFonts w:hint="eastAsia" w:ascii="宋体" w:hAnsi="宋体"/>
          <w:color w:val="auto"/>
          <w:spacing w:val="8"/>
          <w:sz w:val="24"/>
          <w:highlight w:val="none"/>
        </w:rPr>
        <w:t>设计变更</w:t>
      </w:r>
    </w:p>
    <w:p>
      <w:pPr>
        <w:tabs>
          <w:tab w:val="left" w:pos="1125"/>
        </w:tabs>
        <w:adjustRightInd w:val="0"/>
        <w:snapToGrid w:val="0"/>
        <w:spacing w:line="520" w:lineRule="exact"/>
        <w:ind w:left="3408" w:hanging="2148"/>
        <w:rPr>
          <w:rFonts w:ascii="宋体" w:hAnsi="宋体"/>
          <w:color w:val="auto"/>
          <w:spacing w:val="8"/>
          <w:sz w:val="24"/>
          <w:highlight w:val="none"/>
        </w:rPr>
      </w:pPr>
      <w:r>
        <w:rPr>
          <w:rFonts w:hint="eastAsia" w:ascii="宋体" w:hAnsi="宋体"/>
          <w:color w:val="auto"/>
          <w:spacing w:val="8"/>
          <w:sz w:val="24"/>
          <w:highlight w:val="none"/>
        </w:rPr>
        <w:t>第九章</w:t>
      </w:r>
      <w:r>
        <w:rPr>
          <w:rFonts w:ascii="宋体" w:hAnsi="宋体"/>
          <w:color w:val="auto"/>
          <w:spacing w:val="8"/>
          <w:sz w:val="24"/>
          <w:highlight w:val="none"/>
        </w:rPr>
        <w:t xml:space="preserve">    </w:t>
      </w:r>
      <w:r>
        <w:rPr>
          <w:rFonts w:hint="eastAsia" w:ascii="宋体" w:hAnsi="宋体"/>
          <w:color w:val="auto"/>
          <w:spacing w:val="8"/>
          <w:sz w:val="24"/>
          <w:highlight w:val="none"/>
        </w:rPr>
        <w:t xml:space="preserve"> </w:t>
      </w:r>
      <w:r>
        <w:rPr>
          <w:rFonts w:ascii="宋体" w:hAnsi="宋体"/>
          <w:color w:val="auto"/>
          <w:spacing w:val="8"/>
          <w:sz w:val="24"/>
          <w:highlight w:val="none"/>
        </w:rPr>
        <w:t xml:space="preserve">  </w:t>
      </w:r>
      <w:r>
        <w:rPr>
          <w:rFonts w:hint="eastAsia" w:ascii="宋体" w:hAnsi="宋体"/>
          <w:color w:val="auto"/>
          <w:spacing w:val="8"/>
          <w:sz w:val="24"/>
          <w:highlight w:val="none"/>
        </w:rPr>
        <w:t>供货</w:t>
      </w:r>
    </w:p>
    <w:p>
      <w:pPr>
        <w:tabs>
          <w:tab w:val="left" w:pos="1125"/>
        </w:tabs>
        <w:adjustRightInd w:val="0"/>
        <w:snapToGrid w:val="0"/>
        <w:spacing w:line="520" w:lineRule="exact"/>
        <w:ind w:left="3408" w:hanging="2148"/>
        <w:rPr>
          <w:rFonts w:ascii="宋体" w:hAnsi="宋体"/>
          <w:color w:val="auto"/>
          <w:spacing w:val="8"/>
          <w:sz w:val="24"/>
          <w:highlight w:val="none"/>
        </w:rPr>
      </w:pPr>
      <w:r>
        <w:rPr>
          <w:rFonts w:hint="eastAsia" w:ascii="宋体" w:hAnsi="宋体"/>
          <w:color w:val="auto"/>
          <w:spacing w:val="8"/>
          <w:sz w:val="24"/>
          <w:highlight w:val="none"/>
        </w:rPr>
        <w:t>第十章</w:t>
      </w:r>
      <w:r>
        <w:rPr>
          <w:rFonts w:ascii="宋体" w:hAnsi="宋体"/>
          <w:color w:val="auto"/>
          <w:spacing w:val="8"/>
          <w:sz w:val="24"/>
          <w:highlight w:val="none"/>
        </w:rPr>
        <w:t xml:space="preserve">       </w:t>
      </w:r>
      <w:r>
        <w:rPr>
          <w:rFonts w:hint="eastAsia" w:ascii="宋体" w:hAnsi="宋体"/>
          <w:color w:val="auto"/>
          <w:spacing w:val="8"/>
          <w:sz w:val="24"/>
          <w:highlight w:val="none"/>
        </w:rPr>
        <w:t>质量检验及验收</w:t>
      </w:r>
    </w:p>
    <w:p>
      <w:pPr>
        <w:tabs>
          <w:tab w:val="left" w:pos="1125"/>
        </w:tabs>
        <w:adjustRightInd w:val="0"/>
        <w:snapToGrid w:val="0"/>
        <w:spacing w:line="520" w:lineRule="exact"/>
        <w:ind w:left="3408" w:hanging="2148"/>
        <w:rPr>
          <w:rFonts w:ascii="宋体" w:hAnsi="宋体"/>
          <w:color w:val="auto"/>
          <w:spacing w:val="8"/>
          <w:sz w:val="24"/>
          <w:highlight w:val="none"/>
        </w:rPr>
      </w:pPr>
      <w:r>
        <w:rPr>
          <w:rFonts w:hint="eastAsia" w:ascii="宋体" w:hAnsi="宋体"/>
          <w:color w:val="auto"/>
          <w:spacing w:val="8"/>
          <w:sz w:val="24"/>
          <w:highlight w:val="none"/>
        </w:rPr>
        <w:t>第十一章</w:t>
      </w:r>
      <w:r>
        <w:rPr>
          <w:rFonts w:ascii="宋体" w:hAnsi="宋体"/>
          <w:color w:val="auto"/>
          <w:spacing w:val="8"/>
          <w:sz w:val="24"/>
          <w:highlight w:val="none"/>
        </w:rPr>
        <w:t xml:space="preserve">      </w:t>
      </w:r>
      <w:r>
        <w:rPr>
          <w:rFonts w:hint="eastAsia" w:ascii="宋体" w:hAnsi="宋体"/>
          <w:color w:val="auto"/>
          <w:spacing w:val="8"/>
          <w:sz w:val="24"/>
          <w:highlight w:val="none"/>
        </w:rPr>
        <w:t>产品保修</w:t>
      </w:r>
    </w:p>
    <w:p>
      <w:pPr>
        <w:tabs>
          <w:tab w:val="left" w:pos="1125"/>
        </w:tabs>
        <w:adjustRightInd w:val="0"/>
        <w:snapToGrid w:val="0"/>
        <w:spacing w:line="520" w:lineRule="exact"/>
        <w:ind w:left="3408" w:hanging="2148"/>
        <w:rPr>
          <w:rFonts w:ascii="宋体" w:hAnsi="宋体"/>
          <w:color w:val="auto"/>
          <w:spacing w:val="8"/>
          <w:sz w:val="24"/>
          <w:highlight w:val="none"/>
        </w:rPr>
      </w:pPr>
      <w:r>
        <w:rPr>
          <w:rFonts w:hint="eastAsia" w:ascii="宋体" w:hAnsi="宋体"/>
          <w:color w:val="auto"/>
          <w:spacing w:val="8"/>
          <w:sz w:val="24"/>
          <w:highlight w:val="none"/>
        </w:rPr>
        <w:t>第十二章</w:t>
      </w:r>
      <w:r>
        <w:rPr>
          <w:rFonts w:ascii="宋体" w:hAnsi="宋体"/>
          <w:color w:val="auto"/>
          <w:spacing w:val="8"/>
          <w:sz w:val="24"/>
          <w:highlight w:val="none"/>
        </w:rPr>
        <w:t xml:space="preserve">     </w:t>
      </w:r>
      <w:r>
        <w:rPr>
          <w:rFonts w:hint="eastAsia" w:ascii="宋体" w:hAnsi="宋体"/>
          <w:color w:val="auto"/>
          <w:spacing w:val="8"/>
          <w:sz w:val="24"/>
          <w:highlight w:val="none"/>
        </w:rPr>
        <w:t xml:space="preserve">违约  </w:t>
      </w:r>
    </w:p>
    <w:p>
      <w:pPr>
        <w:tabs>
          <w:tab w:val="left" w:pos="1125"/>
        </w:tabs>
        <w:adjustRightInd w:val="0"/>
        <w:snapToGrid w:val="0"/>
        <w:spacing w:line="520" w:lineRule="exact"/>
        <w:ind w:left="3408" w:hanging="2148"/>
        <w:rPr>
          <w:rFonts w:ascii="宋体" w:hAnsi="宋体"/>
          <w:color w:val="auto"/>
          <w:spacing w:val="8"/>
          <w:sz w:val="24"/>
          <w:highlight w:val="none"/>
        </w:rPr>
      </w:pPr>
      <w:r>
        <w:rPr>
          <w:rFonts w:hint="eastAsia" w:ascii="宋体" w:hAnsi="宋体"/>
          <w:color w:val="auto"/>
          <w:spacing w:val="8"/>
          <w:sz w:val="24"/>
          <w:highlight w:val="none"/>
        </w:rPr>
        <w:t>第十三章</w:t>
      </w:r>
      <w:r>
        <w:rPr>
          <w:rFonts w:ascii="宋体" w:hAnsi="宋体"/>
          <w:color w:val="auto"/>
          <w:spacing w:val="8"/>
          <w:sz w:val="24"/>
          <w:highlight w:val="none"/>
        </w:rPr>
        <w:t xml:space="preserve">     </w:t>
      </w:r>
      <w:r>
        <w:rPr>
          <w:rFonts w:hint="eastAsia" w:ascii="宋体" w:hAnsi="宋体"/>
          <w:color w:val="auto"/>
          <w:spacing w:val="8"/>
          <w:sz w:val="24"/>
          <w:highlight w:val="none"/>
        </w:rPr>
        <w:t xml:space="preserve">不可抗力 </w:t>
      </w:r>
    </w:p>
    <w:p>
      <w:pPr>
        <w:tabs>
          <w:tab w:val="left" w:pos="1125"/>
        </w:tabs>
        <w:adjustRightInd w:val="0"/>
        <w:snapToGrid w:val="0"/>
        <w:spacing w:line="520" w:lineRule="exact"/>
        <w:ind w:left="3408" w:hanging="2148"/>
        <w:rPr>
          <w:rFonts w:ascii="宋体" w:hAnsi="宋体"/>
          <w:color w:val="auto"/>
          <w:spacing w:val="8"/>
          <w:sz w:val="24"/>
          <w:highlight w:val="none"/>
        </w:rPr>
      </w:pPr>
      <w:r>
        <w:rPr>
          <w:rFonts w:hint="eastAsia" w:ascii="宋体" w:hAnsi="宋体"/>
          <w:color w:val="auto"/>
          <w:spacing w:val="8"/>
          <w:sz w:val="24"/>
          <w:highlight w:val="none"/>
        </w:rPr>
        <w:t>第十四章</w:t>
      </w:r>
      <w:r>
        <w:rPr>
          <w:rFonts w:ascii="宋体" w:hAnsi="宋体"/>
          <w:color w:val="auto"/>
          <w:spacing w:val="8"/>
          <w:sz w:val="24"/>
          <w:highlight w:val="none"/>
        </w:rPr>
        <w:t xml:space="preserve">     </w:t>
      </w:r>
      <w:r>
        <w:rPr>
          <w:rFonts w:hint="eastAsia" w:ascii="宋体" w:hAnsi="宋体"/>
          <w:color w:val="auto"/>
          <w:spacing w:val="8"/>
          <w:sz w:val="24"/>
          <w:highlight w:val="none"/>
        </w:rPr>
        <w:t>争议的解决</w:t>
      </w:r>
    </w:p>
    <w:p>
      <w:pPr>
        <w:tabs>
          <w:tab w:val="left" w:pos="1125"/>
        </w:tabs>
        <w:adjustRightInd w:val="0"/>
        <w:snapToGrid w:val="0"/>
        <w:spacing w:line="520" w:lineRule="exact"/>
        <w:ind w:left="3408" w:hanging="2148"/>
        <w:rPr>
          <w:rFonts w:ascii="宋体" w:hAnsi="宋体"/>
          <w:color w:val="auto"/>
          <w:spacing w:val="8"/>
          <w:sz w:val="24"/>
          <w:highlight w:val="none"/>
        </w:rPr>
      </w:pPr>
      <w:r>
        <w:rPr>
          <w:rFonts w:hint="eastAsia" w:ascii="宋体" w:hAnsi="宋体"/>
          <w:color w:val="auto"/>
          <w:spacing w:val="8"/>
          <w:sz w:val="24"/>
          <w:highlight w:val="none"/>
        </w:rPr>
        <w:t>第十五章</w:t>
      </w:r>
      <w:r>
        <w:rPr>
          <w:rFonts w:ascii="宋体" w:hAnsi="宋体"/>
          <w:color w:val="auto"/>
          <w:spacing w:val="8"/>
          <w:sz w:val="24"/>
          <w:highlight w:val="none"/>
        </w:rPr>
        <w:t xml:space="preserve">     </w:t>
      </w:r>
      <w:r>
        <w:rPr>
          <w:rFonts w:hint="eastAsia" w:ascii="宋体" w:hAnsi="宋体"/>
          <w:color w:val="auto"/>
          <w:spacing w:val="8"/>
          <w:sz w:val="24"/>
          <w:highlight w:val="none"/>
        </w:rPr>
        <w:t>合同文件及解释顺序</w:t>
      </w:r>
    </w:p>
    <w:p>
      <w:pPr>
        <w:tabs>
          <w:tab w:val="left" w:pos="1125"/>
        </w:tabs>
        <w:adjustRightInd w:val="0"/>
        <w:snapToGrid w:val="0"/>
        <w:spacing w:line="520" w:lineRule="exact"/>
        <w:ind w:left="3408" w:hanging="2148"/>
        <w:rPr>
          <w:rFonts w:ascii="宋体" w:hAnsi="宋体"/>
          <w:color w:val="auto"/>
          <w:spacing w:val="8"/>
          <w:sz w:val="24"/>
          <w:highlight w:val="none"/>
        </w:rPr>
      </w:pPr>
      <w:r>
        <w:rPr>
          <w:rFonts w:hint="eastAsia" w:ascii="宋体" w:hAnsi="宋体"/>
          <w:color w:val="auto"/>
          <w:spacing w:val="8"/>
          <w:sz w:val="24"/>
          <w:highlight w:val="none"/>
        </w:rPr>
        <w:t>第十六章</w:t>
      </w:r>
      <w:r>
        <w:rPr>
          <w:rFonts w:ascii="宋体" w:hAnsi="宋体"/>
          <w:color w:val="auto"/>
          <w:spacing w:val="8"/>
          <w:sz w:val="24"/>
          <w:highlight w:val="none"/>
        </w:rPr>
        <w:t xml:space="preserve">     </w:t>
      </w:r>
      <w:r>
        <w:rPr>
          <w:rFonts w:hint="eastAsia" w:ascii="宋体" w:hAnsi="宋体"/>
          <w:color w:val="auto"/>
          <w:spacing w:val="8"/>
          <w:sz w:val="24"/>
          <w:highlight w:val="none"/>
        </w:rPr>
        <w:t xml:space="preserve">其他 </w:t>
      </w:r>
    </w:p>
    <w:p>
      <w:pPr>
        <w:tabs>
          <w:tab w:val="left" w:pos="1125"/>
        </w:tabs>
        <w:adjustRightInd w:val="0"/>
        <w:snapToGrid w:val="0"/>
        <w:spacing w:line="520" w:lineRule="exact"/>
        <w:ind w:left="3408" w:hanging="2688"/>
        <w:rPr>
          <w:rFonts w:hint="eastAsia" w:ascii="宋体" w:hAnsi="宋体"/>
          <w:color w:val="auto"/>
          <w:spacing w:val="8"/>
          <w:sz w:val="24"/>
          <w:highlight w:val="none"/>
        </w:rPr>
      </w:pPr>
      <w:r>
        <w:rPr>
          <w:rFonts w:hint="eastAsia" w:ascii="宋体" w:hAnsi="宋体"/>
          <w:color w:val="auto"/>
          <w:spacing w:val="8"/>
          <w:sz w:val="24"/>
          <w:highlight w:val="none"/>
        </w:rPr>
        <w:t xml:space="preserve"> </w:t>
      </w:r>
    </w:p>
    <w:p>
      <w:pPr>
        <w:adjustRightInd w:val="0"/>
        <w:snapToGrid w:val="0"/>
        <w:spacing w:line="480" w:lineRule="exact"/>
        <w:ind w:firstLine="514" w:firstLineChars="200"/>
        <w:jc w:val="center"/>
        <w:rPr>
          <w:rFonts w:ascii="宋体" w:hAnsi="宋体"/>
          <w:b/>
          <w:color w:val="auto"/>
          <w:spacing w:val="8"/>
          <w:sz w:val="24"/>
          <w:highlight w:val="none"/>
        </w:rPr>
      </w:pPr>
      <w:r>
        <w:rPr>
          <w:rFonts w:ascii="宋体" w:hAnsi="宋体"/>
          <w:b/>
          <w:color w:val="auto"/>
          <w:spacing w:val="8"/>
          <w:sz w:val="24"/>
          <w:highlight w:val="none"/>
        </w:rPr>
        <w:br w:type="page"/>
      </w:r>
      <w:r>
        <w:rPr>
          <w:rFonts w:hint="eastAsia" w:ascii="宋体" w:hAnsi="宋体"/>
          <w:b/>
          <w:color w:val="auto"/>
          <w:spacing w:val="8"/>
          <w:sz w:val="24"/>
          <w:highlight w:val="none"/>
        </w:rPr>
        <w:t>第一章</w:t>
      </w:r>
      <w:r>
        <w:rPr>
          <w:rFonts w:ascii="宋体" w:hAnsi="宋体"/>
          <w:color w:val="auto"/>
          <w:spacing w:val="8"/>
          <w:sz w:val="24"/>
          <w:highlight w:val="none"/>
        </w:rPr>
        <w:t xml:space="preserve"> </w:t>
      </w:r>
      <w:r>
        <w:rPr>
          <w:rFonts w:hint="eastAsia" w:ascii="宋体" w:hAnsi="宋体"/>
          <w:b/>
          <w:color w:val="auto"/>
          <w:spacing w:val="8"/>
          <w:sz w:val="24"/>
          <w:highlight w:val="none"/>
        </w:rPr>
        <w:t xml:space="preserve"> 项目概况</w:t>
      </w:r>
    </w:p>
    <w:p>
      <w:pPr>
        <w:adjustRightInd w:val="0"/>
        <w:snapToGrid w:val="0"/>
        <w:spacing w:line="520" w:lineRule="exact"/>
        <w:rPr>
          <w:rFonts w:hint="eastAsia" w:ascii="宋体" w:hAnsi="宋体"/>
          <w:color w:val="auto"/>
          <w:spacing w:val="8"/>
          <w:sz w:val="24"/>
          <w:highlight w:val="none"/>
          <w:u w:val="single"/>
        </w:rPr>
      </w:pPr>
      <w:r>
        <w:rPr>
          <w:rFonts w:hint="eastAsia" w:ascii="宋体" w:hAnsi="宋体"/>
          <w:color w:val="auto"/>
          <w:spacing w:val="8"/>
          <w:sz w:val="24"/>
          <w:highlight w:val="none"/>
        </w:rPr>
        <w:t>1.1招标单位（以下简称甲方）：</w:t>
      </w:r>
      <w:r>
        <w:rPr>
          <w:rFonts w:hint="eastAsia" w:ascii="宋体" w:hAnsi="宋体"/>
          <w:color w:val="auto"/>
          <w:spacing w:val="8"/>
          <w:sz w:val="24"/>
          <w:highlight w:val="none"/>
          <w:u w:val="single"/>
        </w:rPr>
        <w:t xml:space="preserve">                           </w:t>
      </w:r>
    </w:p>
    <w:p>
      <w:pPr>
        <w:adjustRightInd w:val="0"/>
        <w:snapToGrid w:val="0"/>
        <w:spacing w:line="520" w:lineRule="exact"/>
        <w:rPr>
          <w:rFonts w:hint="eastAsia" w:ascii="宋体" w:hAnsi="宋体"/>
          <w:color w:val="auto"/>
          <w:spacing w:val="8"/>
          <w:sz w:val="24"/>
          <w:highlight w:val="none"/>
          <w:u w:val="single"/>
        </w:rPr>
      </w:pPr>
      <w:r>
        <w:rPr>
          <w:rFonts w:hint="eastAsia" w:ascii="宋体" w:hAnsi="宋体"/>
          <w:color w:val="auto"/>
          <w:spacing w:val="8"/>
          <w:sz w:val="24"/>
          <w:highlight w:val="none"/>
        </w:rPr>
        <w:t>1.2项目名称：</w:t>
      </w:r>
      <w:r>
        <w:rPr>
          <w:rFonts w:hint="eastAsia" w:ascii="宋体" w:hAnsi="宋体"/>
          <w:color w:val="auto"/>
          <w:spacing w:val="8"/>
          <w:sz w:val="24"/>
          <w:highlight w:val="none"/>
          <w:u w:val="single"/>
        </w:rPr>
        <w:t xml:space="preserve">                </w:t>
      </w:r>
    </w:p>
    <w:p>
      <w:pPr>
        <w:adjustRightInd w:val="0"/>
        <w:snapToGrid w:val="0"/>
        <w:spacing w:line="520" w:lineRule="exact"/>
        <w:rPr>
          <w:rFonts w:hint="eastAsia" w:ascii="宋体" w:hAnsi="宋体"/>
          <w:color w:val="auto"/>
          <w:spacing w:val="8"/>
          <w:sz w:val="24"/>
          <w:highlight w:val="none"/>
          <w:u w:val="single"/>
        </w:rPr>
      </w:pPr>
      <w:r>
        <w:rPr>
          <w:rFonts w:hint="eastAsia" w:ascii="宋体" w:hAnsi="宋体"/>
          <w:color w:val="auto"/>
          <w:spacing w:val="8"/>
          <w:sz w:val="24"/>
          <w:highlight w:val="none"/>
        </w:rPr>
        <w:t>1.3供货</w:t>
      </w:r>
      <w:r>
        <w:rPr>
          <w:rFonts w:hint="eastAsia" w:ascii="宋体" w:hAnsi="宋体"/>
          <w:color w:val="auto"/>
          <w:spacing w:val="8"/>
          <w:sz w:val="24"/>
          <w:highlight w:val="none"/>
          <w:lang w:val="en-US" w:eastAsia="zh-CN"/>
        </w:rPr>
        <w:t>及服务</w:t>
      </w:r>
      <w:r>
        <w:rPr>
          <w:rFonts w:hint="eastAsia" w:ascii="宋体" w:hAnsi="宋体"/>
          <w:color w:val="auto"/>
          <w:spacing w:val="8"/>
          <w:sz w:val="24"/>
          <w:highlight w:val="none"/>
        </w:rPr>
        <w:t>地点：</w:t>
      </w:r>
      <w:r>
        <w:rPr>
          <w:rFonts w:hint="eastAsia" w:ascii="宋体" w:hAnsi="宋体"/>
          <w:color w:val="auto"/>
          <w:spacing w:val="8"/>
          <w:sz w:val="24"/>
          <w:highlight w:val="none"/>
          <w:u w:val="single"/>
        </w:rPr>
        <w:t xml:space="preserve">                </w:t>
      </w:r>
    </w:p>
    <w:p>
      <w:pPr>
        <w:adjustRightInd w:val="0"/>
        <w:snapToGrid w:val="0"/>
        <w:spacing w:line="520" w:lineRule="exact"/>
        <w:rPr>
          <w:rFonts w:hint="eastAsia" w:ascii="宋体" w:hAnsi="宋体"/>
          <w:color w:val="auto"/>
          <w:spacing w:val="8"/>
          <w:sz w:val="24"/>
          <w:highlight w:val="none"/>
        </w:rPr>
      </w:pPr>
      <w:r>
        <w:rPr>
          <w:rFonts w:hint="eastAsia" w:ascii="宋体" w:hAnsi="宋体"/>
          <w:color w:val="auto"/>
          <w:spacing w:val="8"/>
          <w:sz w:val="24"/>
          <w:highlight w:val="none"/>
        </w:rPr>
        <w:t>1.4中标单位(以下简称乙方)：</w:t>
      </w:r>
    </w:p>
    <w:p>
      <w:pPr>
        <w:tabs>
          <w:tab w:val="left" w:pos="1290"/>
        </w:tabs>
        <w:adjustRightInd w:val="0"/>
        <w:snapToGrid w:val="0"/>
        <w:spacing w:line="520" w:lineRule="exact"/>
        <w:jc w:val="center"/>
        <w:rPr>
          <w:rFonts w:hint="eastAsia" w:ascii="宋体" w:hAnsi="宋体"/>
          <w:b/>
          <w:color w:val="auto"/>
          <w:spacing w:val="8"/>
          <w:sz w:val="24"/>
          <w:highlight w:val="none"/>
        </w:rPr>
      </w:pPr>
      <w:r>
        <w:rPr>
          <w:rFonts w:hint="eastAsia" w:ascii="宋体" w:hAnsi="宋体"/>
          <w:b/>
          <w:color w:val="auto"/>
          <w:spacing w:val="8"/>
          <w:sz w:val="24"/>
          <w:highlight w:val="none"/>
        </w:rPr>
        <w:t>第二章</w:t>
      </w:r>
      <w:r>
        <w:rPr>
          <w:rFonts w:ascii="宋体" w:hAnsi="宋体"/>
          <w:b/>
          <w:color w:val="auto"/>
          <w:spacing w:val="8"/>
          <w:sz w:val="24"/>
          <w:highlight w:val="none"/>
        </w:rPr>
        <w:t xml:space="preserve">  </w:t>
      </w:r>
      <w:r>
        <w:rPr>
          <w:rFonts w:hint="eastAsia" w:ascii="宋体" w:hAnsi="宋体"/>
          <w:b/>
          <w:color w:val="auto"/>
          <w:spacing w:val="8"/>
          <w:sz w:val="24"/>
          <w:highlight w:val="none"/>
        </w:rPr>
        <w:t>承包范围</w:t>
      </w:r>
    </w:p>
    <w:p>
      <w:pPr>
        <w:adjustRightInd w:val="0"/>
        <w:snapToGrid w:val="0"/>
        <w:spacing w:line="520" w:lineRule="exact"/>
        <w:jc w:val="left"/>
        <w:rPr>
          <w:rFonts w:ascii="宋体" w:hAnsi="宋体"/>
          <w:b w:val="0"/>
          <w:bCs w:val="0"/>
          <w:color w:val="auto"/>
          <w:spacing w:val="8"/>
          <w:sz w:val="24"/>
          <w:highlight w:val="none"/>
        </w:rPr>
      </w:pPr>
      <w:r>
        <w:rPr>
          <w:rFonts w:ascii="宋体" w:hAnsi="宋体"/>
          <w:b w:val="0"/>
          <w:bCs w:val="0"/>
          <w:color w:val="auto"/>
          <w:spacing w:val="8"/>
          <w:sz w:val="24"/>
          <w:highlight w:val="none"/>
        </w:rPr>
        <w:t>2.</w:t>
      </w:r>
      <w:r>
        <w:rPr>
          <w:rFonts w:hint="eastAsia" w:ascii="宋体" w:hAnsi="宋体"/>
          <w:b w:val="0"/>
          <w:bCs w:val="0"/>
          <w:color w:val="auto"/>
          <w:spacing w:val="8"/>
          <w:sz w:val="24"/>
          <w:highlight w:val="none"/>
        </w:rPr>
        <w:t>1承包范围：</w:t>
      </w:r>
      <w:r>
        <w:rPr>
          <w:rFonts w:hint="eastAsia" w:ascii="宋体" w:hAnsi="宋体"/>
          <w:b w:val="0"/>
          <w:bCs w:val="0"/>
          <w:color w:val="auto"/>
          <w:spacing w:val="8"/>
          <w:sz w:val="24"/>
          <w:highlight w:val="none"/>
          <w:lang w:val="en-US" w:eastAsia="zh-CN"/>
        </w:rPr>
        <w:t>招标文件中采购清单全部内容的供货、安装、调试及</w:t>
      </w:r>
      <w:r>
        <w:rPr>
          <w:rFonts w:hint="eastAsia" w:ascii="宋体" w:hAnsi="宋体"/>
          <w:b w:val="0"/>
          <w:bCs w:val="0"/>
          <w:color w:val="auto"/>
          <w:spacing w:val="8"/>
          <w:sz w:val="24"/>
          <w:highlight w:val="none"/>
          <w:u w:val="single"/>
          <w:lang w:val="en-US" w:eastAsia="zh-CN"/>
        </w:rPr>
        <w:t xml:space="preserve">   </w:t>
      </w:r>
      <w:r>
        <w:rPr>
          <w:rFonts w:hint="eastAsia" w:ascii="宋体" w:hAnsi="宋体"/>
          <w:b w:val="0"/>
          <w:bCs w:val="0"/>
          <w:color w:val="auto"/>
          <w:spacing w:val="8"/>
          <w:sz w:val="24"/>
          <w:highlight w:val="none"/>
          <w:lang w:val="en-US" w:eastAsia="zh-CN"/>
        </w:rPr>
        <w:t>年质保服务</w:t>
      </w:r>
      <w:r>
        <w:rPr>
          <w:rFonts w:hint="eastAsia" w:ascii="宋体" w:hAnsi="宋体"/>
          <w:b w:val="0"/>
          <w:bCs w:val="0"/>
          <w:color w:val="auto"/>
          <w:spacing w:val="8"/>
          <w:sz w:val="24"/>
          <w:highlight w:val="none"/>
        </w:rPr>
        <w:t>。</w:t>
      </w:r>
    </w:p>
    <w:p>
      <w:pPr>
        <w:pStyle w:val="2"/>
        <w:adjustRightInd w:val="0"/>
        <w:snapToGrid w:val="0"/>
        <w:spacing w:line="520" w:lineRule="exact"/>
        <w:rPr>
          <w:rFonts w:ascii="宋体" w:hAnsi="宋体"/>
          <w:color w:val="auto"/>
          <w:spacing w:val="8"/>
          <w:sz w:val="24"/>
          <w:highlight w:val="none"/>
        </w:rPr>
      </w:pPr>
      <w:r>
        <w:rPr>
          <w:rFonts w:ascii="宋体" w:hAnsi="宋体"/>
          <w:color w:val="auto"/>
          <w:spacing w:val="8"/>
          <w:sz w:val="24"/>
          <w:highlight w:val="none"/>
        </w:rPr>
        <w:t>2.2</w:t>
      </w:r>
      <w:r>
        <w:rPr>
          <w:rFonts w:hint="eastAsia" w:ascii="宋体" w:hAnsi="宋体"/>
          <w:color w:val="auto"/>
          <w:spacing w:val="8"/>
          <w:sz w:val="24"/>
          <w:highlight w:val="none"/>
        </w:rPr>
        <w:t>乙方应根据合同及甲方最后确认的有关技术要求精心组织该项工作，使设备</w:t>
      </w:r>
      <w:r>
        <w:rPr>
          <w:rFonts w:hint="eastAsia" w:ascii="宋体" w:hAnsi="宋体"/>
          <w:color w:val="auto"/>
          <w:spacing w:val="8"/>
          <w:sz w:val="24"/>
          <w:highlight w:val="none"/>
          <w:lang w:val="en-US" w:eastAsia="zh-CN"/>
        </w:rPr>
        <w:t>及服务</w:t>
      </w:r>
      <w:r>
        <w:rPr>
          <w:rFonts w:hint="eastAsia" w:ascii="宋体" w:hAnsi="宋体"/>
          <w:color w:val="auto"/>
          <w:spacing w:val="8"/>
          <w:sz w:val="24"/>
          <w:highlight w:val="none"/>
        </w:rPr>
        <w:t>质量符合国家质量</w:t>
      </w:r>
      <w:r>
        <w:rPr>
          <w:rFonts w:hint="eastAsia" w:ascii="宋体" w:hAnsi="宋体"/>
          <w:color w:val="auto"/>
          <w:spacing w:val="8"/>
          <w:sz w:val="24"/>
          <w:highlight w:val="none"/>
          <w:lang w:val="en-US" w:eastAsia="zh-CN"/>
        </w:rPr>
        <w:t>合格</w:t>
      </w:r>
      <w:r>
        <w:rPr>
          <w:rFonts w:hint="eastAsia" w:ascii="宋体" w:hAnsi="宋体"/>
          <w:color w:val="auto"/>
          <w:spacing w:val="8"/>
          <w:sz w:val="24"/>
          <w:highlight w:val="none"/>
        </w:rPr>
        <w:t>标准，满足甲方要求。</w:t>
      </w:r>
    </w:p>
    <w:p>
      <w:pPr>
        <w:tabs>
          <w:tab w:val="left" w:pos="1290"/>
        </w:tabs>
        <w:adjustRightInd w:val="0"/>
        <w:snapToGrid w:val="0"/>
        <w:spacing w:line="520" w:lineRule="exact"/>
        <w:jc w:val="center"/>
        <w:rPr>
          <w:rFonts w:hint="eastAsia" w:ascii="宋体" w:hAnsi="宋体"/>
          <w:b/>
          <w:color w:val="auto"/>
          <w:spacing w:val="8"/>
          <w:sz w:val="24"/>
          <w:highlight w:val="none"/>
        </w:rPr>
      </w:pPr>
      <w:r>
        <w:rPr>
          <w:rFonts w:hint="eastAsia" w:ascii="宋体" w:hAnsi="宋体"/>
          <w:b/>
          <w:color w:val="auto"/>
          <w:spacing w:val="8"/>
          <w:sz w:val="24"/>
          <w:highlight w:val="none"/>
        </w:rPr>
        <w:t>第三章  供货周期</w:t>
      </w:r>
    </w:p>
    <w:p>
      <w:pPr>
        <w:adjustRightInd w:val="0"/>
        <w:snapToGrid w:val="0"/>
        <w:spacing w:line="520" w:lineRule="exact"/>
        <w:rPr>
          <w:rFonts w:hint="eastAsia" w:ascii="宋体" w:hAnsi="宋体"/>
          <w:color w:val="auto"/>
          <w:spacing w:val="8"/>
          <w:sz w:val="24"/>
          <w:highlight w:val="none"/>
        </w:rPr>
      </w:pPr>
      <w:r>
        <w:rPr>
          <w:rFonts w:hint="eastAsia" w:ascii="宋体" w:hAnsi="宋体"/>
          <w:color w:val="auto"/>
          <w:spacing w:val="8"/>
          <w:sz w:val="24"/>
          <w:highlight w:val="none"/>
        </w:rPr>
        <w:t>3.1所有设备供货周期为：</w:t>
      </w:r>
    </w:p>
    <w:p>
      <w:pPr>
        <w:adjustRightInd w:val="0"/>
        <w:snapToGrid w:val="0"/>
        <w:spacing w:line="520" w:lineRule="exact"/>
        <w:rPr>
          <w:rFonts w:hint="eastAsia" w:ascii="宋体" w:hAnsi="宋体"/>
          <w:color w:val="auto"/>
          <w:spacing w:val="8"/>
          <w:sz w:val="24"/>
          <w:highlight w:val="none"/>
        </w:rPr>
      </w:pPr>
      <w:r>
        <w:rPr>
          <w:rFonts w:hint="eastAsia" w:ascii="宋体" w:hAnsi="宋体"/>
          <w:color w:val="auto"/>
          <w:spacing w:val="8"/>
          <w:sz w:val="24"/>
          <w:highlight w:val="none"/>
        </w:rPr>
        <w:t>3.2所有设备供货期：自签订本合同之日起</w:t>
      </w:r>
      <w:r>
        <w:rPr>
          <w:rFonts w:hint="eastAsia" w:ascii="宋体" w:hAnsi="宋体"/>
          <w:color w:val="auto"/>
          <w:spacing w:val="8"/>
          <w:sz w:val="24"/>
          <w:highlight w:val="none"/>
          <w:u w:val="single"/>
        </w:rPr>
        <w:t xml:space="preserve">    </w:t>
      </w:r>
      <w:r>
        <w:rPr>
          <w:rFonts w:hint="eastAsia" w:ascii="宋体" w:hAnsi="宋体"/>
          <w:color w:val="auto"/>
          <w:spacing w:val="8"/>
          <w:sz w:val="24"/>
          <w:highlight w:val="none"/>
        </w:rPr>
        <w:t>天（日历日）之内</w:t>
      </w:r>
      <w:r>
        <w:rPr>
          <w:rFonts w:hint="eastAsia" w:ascii="宋体" w:hAnsi="宋体"/>
          <w:color w:val="auto"/>
          <w:spacing w:val="8"/>
          <w:sz w:val="24"/>
          <w:highlight w:val="none"/>
          <w:lang w:eastAsia="zh-CN"/>
        </w:rPr>
        <w:t>安装调试</w:t>
      </w:r>
      <w:r>
        <w:rPr>
          <w:rFonts w:hint="eastAsia" w:ascii="宋体" w:hAnsi="宋体"/>
          <w:color w:val="auto"/>
          <w:spacing w:val="8"/>
          <w:sz w:val="24"/>
          <w:highlight w:val="none"/>
        </w:rPr>
        <w:t>完成。</w:t>
      </w:r>
    </w:p>
    <w:p>
      <w:pPr>
        <w:adjustRightInd w:val="0"/>
        <w:snapToGrid w:val="0"/>
        <w:spacing w:line="520" w:lineRule="exact"/>
        <w:rPr>
          <w:rFonts w:hint="eastAsia" w:ascii="宋体" w:hAnsi="宋体"/>
          <w:color w:val="auto"/>
          <w:spacing w:val="8"/>
          <w:sz w:val="24"/>
          <w:highlight w:val="none"/>
        </w:rPr>
      </w:pPr>
      <w:r>
        <w:rPr>
          <w:rFonts w:hint="eastAsia" w:ascii="宋体" w:hAnsi="宋体"/>
          <w:color w:val="auto"/>
          <w:spacing w:val="8"/>
          <w:sz w:val="24"/>
          <w:highlight w:val="none"/>
        </w:rPr>
        <w:t>3.3遇到下列情况之一者，经甲方审核批准后，供货期可作调整。</w:t>
      </w:r>
    </w:p>
    <w:p>
      <w:pPr>
        <w:numPr>
          <w:ilvl w:val="0"/>
          <w:numId w:val="8"/>
        </w:numPr>
        <w:adjustRightInd w:val="0"/>
        <w:snapToGrid w:val="0"/>
        <w:spacing w:line="520" w:lineRule="exact"/>
        <w:rPr>
          <w:rFonts w:hint="eastAsia" w:ascii="宋体" w:hAnsi="宋体"/>
          <w:color w:val="auto"/>
          <w:spacing w:val="8"/>
          <w:sz w:val="24"/>
          <w:highlight w:val="none"/>
        </w:rPr>
      </w:pPr>
      <w:r>
        <w:rPr>
          <w:rFonts w:hint="eastAsia" w:ascii="宋体" w:hAnsi="宋体"/>
          <w:color w:val="auto"/>
          <w:spacing w:val="8"/>
          <w:sz w:val="24"/>
          <w:highlight w:val="none"/>
        </w:rPr>
        <w:t>重大方案变更（指方案功能改变、主要参数增减和发生在关键布置上的改变）；</w:t>
      </w:r>
    </w:p>
    <w:p>
      <w:pPr>
        <w:numPr>
          <w:ilvl w:val="0"/>
          <w:numId w:val="8"/>
        </w:numPr>
        <w:adjustRightInd w:val="0"/>
        <w:snapToGrid w:val="0"/>
        <w:spacing w:line="520" w:lineRule="exact"/>
        <w:rPr>
          <w:rFonts w:hint="eastAsia" w:ascii="宋体" w:hAnsi="宋体"/>
          <w:color w:val="auto"/>
          <w:spacing w:val="8"/>
          <w:sz w:val="24"/>
          <w:highlight w:val="none"/>
        </w:rPr>
      </w:pPr>
      <w:r>
        <w:rPr>
          <w:rFonts w:hint="eastAsia" w:ascii="宋体" w:hAnsi="宋体"/>
          <w:color w:val="auto"/>
          <w:spacing w:val="8"/>
          <w:sz w:val="24"/>
          <w:highlight w:val="none"/>
        </w:rPr>
        <w:t>计划供货期改变；</w:t>
      </w:r>
    </w:p>
    <w:p>
      <w:pPr>
        <w:numPr>
          <w:ilvl w:val="0"/>
          <w:numId w:val="8"/>
        </w:numPr>
        <w:adjustRightInd w:val="0"/>
        <w:snapToGrid w:val="0"/>
        <w:spacing w:line="520" w:lineRule="exact"/>
        <w:rPr>
          <w:rFonts w:hint="eastAsia" w:ascii="宋体" w:hAnsi="宋体"/>
          <w:color w:val="auto"/>
          <w:spacing w:val="8"/>
          <w:sz w:val="24"/>
          <w:highlight w:val="none"/>
        </w:rPr>
      </w:pPr>
      <w:r>
        <w:rPr>
          <w:rFonts w:hint="eastAsia" w:ascii="宋体" w:hAnsi="宋体"/>
          <w:color w:val="auto"/>
          <w:spacing w:val="8"/>
          <w:sz w:val="24"/>
          <w:highlight w:val="none"/>
        </w:rPr>
        <w:t>不可抗力；</w:t>
      </w:r>
    </w:p>
    <w:p>
      <w:pPr>
        <w:numPr>
          <w:ilvl w:val="0"/>
          <w:numId w:val="8"/>
        </w:numPr>
        <w:adjustRightInd w:val="0"/>
        <w:snapToGrid w:val="0"/>
        <w:spacing w:line="520" w:lineRule="exact"/>
        <w:rPr>
          <w:rFonts w:hint="eastAsia" w:ascii="宋体" w:hAnsi="宋体"/>
          <w:color w:val="auto"/>
          <w:spacing w:val="8"/>
          <w:sz w:val="24"/>
          <w:highlight w:val="none"/>
        </w:rPr>
      </w:pPr>
      <w:r>
        <w:rPr>
          <w:rFonts w:hint="eastAsia" w:ascii="宋体" w:hAnsi="宋体"/>
          <w:color w:val="auto"/>
          <w:spacing w:val="8"/>
          <w:sz w:val="24"/>
          <w:highlight w:val="none"/>
        </w:rPr>
        <w:t>合同中约定的其他情况。</w:t>
      </w:r>
    </w:p>
    <w:p>
      <w:pPr>
        <w:adjustRightInd w:val="0"/>
        <w:snapToGrid w:val="0"/>
        <w:spacing w:line="520" w:lineRule="exact"/>
        <w:ind w:firstLine="480"/>
        <w:rPr>
          <w:rFonts w:hint="eastAsia" w:ascii="宋体" w:hAnsi="宋体"/>
          <w:color w:val="auto"/>
          <w:spacing w:val="8"/>
          <w:sz w:val="24"/>
          <w:highlight w:val="none"/>
        </w:rPr>
      </w:pPr>
      <w:r>
        <w:rPr>
          <w:rFonts w:hint="eastAsia" w:ascii="宋体" w:hAnsi="宋体"/>
          <w:color w:val="auto"/>
          <w:spacing w:val="8"/>
          <w:sz w:val="24"/>
          <w:highlight w:val="none"/>
        </w:rPr>
        <w:t>上述情况发生5日内，乙方应将供货期延误内容书面报告给甲方，甲方应在接到乙方报告后3日内给予答复。</w:t>
      </w:r>
    </w:p>
    <w:p>
      <w:pPr>
        <w:adjustRightInd w:val="0"/>
        <w:snapToGrid w:val="0"/>
        <w:spacing w:line="520" w:lineRule="exact"/>
        <w:rPr>
          <w:rFonts w:hint="eastAsia" w:ascii="宋体" w:hAnsi="宋体"/>
          <w:color w:val="auto"/>
          <w:spacing w:val="8"/>
          <w:sz w:val="24"/>
          <w:highlight w:val="none"/>
        </w:rPr>
      </w:pPr>
      <w:r>
        <w:rPr>
          <w:rFonts w:hint="eastAsia" w:ascii="宋体" w:hAnsi="宋体"/>
          <w:color w:val="auto"/>
          <w:spacing w:val="8"/>
          <w:sz w:val="24"/>
          <w:highlight w:val="none"/>
        </w:rPr>
        <w:t>3.4非上述原因，不能按时供货，每延误一天罚款为合同额的3‰。</w:t>
      </w:r>
    </w:p>
    <w:p>
      <w:pPr>
        <w:adjustRightInd w:val="0"/>
        <w:snapToGrid w:val="0"/>
        <w:spacing w:line="520" w:lineRule="exact"/>
        <w:rPr>
          <w:rFonts w:hint="eastAsia" w:ascii="宋体" w:hAnsi="宋体"/>
          <w:color w:val="auto"/>
          <w:spacing w:val="8"/>
          <w:sz w:val="24"/>
          <w:highlight w:val="none"/>
        </w:rPr>
      </w:pPr>
      <w:r>
        <w:rPr>
          <w:rFonts w:hint="eastAsia" w:ascii="宋体" w:hAnsi="宋体"/>
          <w:color w:val="auto"/>
          <w:spacing w:val="8"/>
          <w:sz w:val="24"/>
          <w:highlight w:val="none"/>
        </w:rPr>
        <w:t>3.5供货时间遵循政府有关规定，任何超时工作认为是完成本项目所必需的，乙方应自行承担相关费用。</w:t>
      </w:r>
    </w:p>
    <w:p>
      <w:pPr>
        <w:tabs>
          <w:tab w:val="left" w:pos="1290"/>
        </w:tabs>
        <w:adjustRightInd w:val="0"/>
        <w:snapToGrid w:val="0"/>
        <w:spacing w:line="560" w:lineRule="exact"/>
        <w:jc w:val="center"/>
        <w:rPr>
          <w:rFonts w:hint="eastAsia" w:ascii="宋体" w:hAnsi="宋体"/>
          <w:b/>
          <w:color w:val="auto"/>
          <w:spacing w:val="8"/>
          <w:sz w:val="24"/>
          <w:highlight w:val="none"/>
        </w:rPr>
      </w:pPr>
      <w:r>
        <w:rPr>
          <w:rFonts w:hint="eastAsia" w:ascii="宋体" w:hAnsi="宋体"/>
          <w:b/>
          <w:color w:val="auto"/>
          <w:spacing w:val="8"/>
          <w:sz w:val="24"/>
          <w:highlight w:val="none"/>
        </w:rPr>
        <w:t>第四章 付款方式</w:t>
      </w:r>
    </w:p>
    <w:p>
      <w:pPr>
        <w:tabs>
          <w:tab w:val="left" w:pos="1290"/>
        </w:tabs>
        <w:adjustRightInd w:val="0"/>
        <w:snapToGrid w:val="0"/>
        <w:spacing w:line="560" w:lineRule="exact"/>
        <w:ind w:firstLine="520" w:firstLineChars="200"/>
        <w:jc w:val="both"/>
        <w:rPr>
          <w:rFonts w:hint="eastAsia" w:ascii="宋体" w:hAnsi="宋体"/>
          <w:color w:val="auto"/>
          <w:spacing w:val="10"/>
          <w:kern w:val="0"/>
          <w:sz w:val="24"/>
          <w:szCs w:val="24"/>
          <w:highlight w:val="none"/>
          <w:lang w:eastAsia="zh-CN"/>
        </w:rPr>
      </w:pPr>
      <w:r>
        <w:rPr>
          <w:rFonts w:hint="eastAsia" w:ascii="宋体" w:hAnsi="宋体"/>
          <w:color w:val="auto"/>
          <w:spacing w:val="10"/>
          <w:kern w:val="0"/>
          <w:sz w:val="24"/>
          <w:szCs w:val="24"/>
          <w:highlight w:val="none"/>
          <w:lang w:eastAsia="zh-CN"/>
        </w:rPr>
        <w:t>按招标文件商务要求填写。</w:t>
      </w:r>
    </w:p>
    <w:p>
      <w:pPr>
        <w:tabs>
          <w:tab w:val="left" w:pos="1290"/>
        </w:tabs>
        <w:adjustRightInd w:val="0"/>
        <w:snapToGrid w:val="0"/>
        <w:spacing w:line="560" w:lineRule="exact"/>
        <w:jc w:val="center"/>
        <w:rPr>
          <w:rFonts w:hint="eastAsia" w:ascii="宋体" w:hAnsi="宋体"/>
          <w:b/>
          <w:color w:val="auto"/>
          <w:spacing w:val="8"/>
          <w:sz w:val="24"/>
          <w:highlight w:val="none"/>
        </w:rPr>
      </w:pPr>
      <w:r>
        <w:rPr>
          <w:rFonts w:hint="eastAsia" w:ascii="宋体" w:hAnsi="宋体"/>
          <w:b/>
          <w:color w:val="auto"/>
          <w:spacing w:val="8"/>
          <w:sz w:val="24"/>
          <w:highlight w:val="none"/>
        </w:rPr>
        <w:t>第五章   承包方式、造价及造价调整</w:t>
      </w:r>
    </w:p>
    <w:p>
      <w:pPr>
        <w:adjustRightInd w:val="0"/>
        <w:snapToGrid w:val="0"/>
        <w:spacing w:line="560" w:lineRule="exact"/>
        <w:rPr>
          <w:rFonts w:hint="eastAsia" w:ascii="宋体" w:hAnsi="宋体"/>
          <w:color w:val="auto"/>
          <w:spacing w:val="8"/>
          <w:sz w:val="24"/>
          <w:highlight w:val="none"/>
        </w:rPr>
      </w:pPr>
      <w:r>
        <w:rPr>
          <w:rFonts w:hint="eastAsia" w:ascii="宋体" w:hAnsi="宋体"/>
          <w:color w:val="auto"/>
          <w:spacing w:val="8"/>
          <w:sz w:val="24"/>
          <w:highlight w:val="none"/>
        </w:rPr>
        <w:t>5.1承包方式：固定单价，一次包死。若因甲方需完善功能设施所发生的重大变更将以补充协议形式办理。</w:t>
      </w:r>
    </w:p>
    <w:p>
      <w:pPr>
        <w:adjustRightInd w:val="0"/>
        <w:snapToGrid w:val="0"/>
        <w:spacing w:line="560" w:lineRule="exact"/>
        <w:rPr>
          <w:rFonts w:hint="eastAsia" w:ascii="宋体" w:hAnsi="宋体"/>
          <w:color w:val="auto"/>
          <w:spacing w:val="8"/>
          <w:sz w:val="24"/>
          <w:highlight w:val="none"/>
        </w:rPr>
      </w:pPr>
      <w:r>
        <w:rPr>
          <w:rFonts w:hint="eastAsia" w:ascii="宋体" w:hAnsi="宋体"/>
          <w:color w:val="auto"/>
          <w:spacing w:val="8"/>
          <w:sz w:val="24"/>
          <w:highlight w:val="none"/>
        </w:rPr>
        <w:t>5.2发生下列情况之一时，经乙方提出甲方认可审定后可调整本合同造价：</w:t>
      </w:r>
    </w:p>
    <w:p>
      <w:pPr>
        <w:numPr>
          <w:ilvl w:val="0"/>
          <w:numId w:val="9"/>
        </w:numPr>
        <w:adjustRightInd w:val="0"/>
        <w:snapToGrid w:val="0"/>
        <w:spacing w:line="560" w:lineRule="exact"/>
        <w:rPr>
          <w:rFonts w:hint="eastAsia" w:ascii="宋体" w:hAnsi="宋体"/>
          <w:color w:val="auto"/>
          <w:spacing w:val="8"/>
          <w:sz w:val="24"/>
          <w:highlight w:val="none"/>
        </w:rPr>
      </w:pPr>
      <w:r>
        <w:rPr>
          <w:rFonts w:hint="eastAsia" w:ascii="宋体" w:hAnsi="宋体"/>
          <w:color w:val="auto"/>
          <w:spacing w:val="8"/>
          <w:sz w:val="24"/>
          <w:highlight w:val="none"/>
        </w:rPr>
        <w:t>增加/减少合同内容。</w:t>
      </w:r>
    </w:p>
    <w:p>
      <w:pPr>
        <w:numPr>
          <w:ilvl w:val="0"/>
          <w:numId w:val="9"/>
        </w:numPr>
        <w:adjustRightInd w:val="0"/>
        <w:snapToGrid w:val="0"/>
        <w:spacing w:line="560" w:lineRule="exact"/>
        <w:rPr>
          <w:rFonts w:hint="eastAsia" w:ascii="宋体" w:hAnsi="宋体"/>
          <w:color w:val="auto"/>
          <w:spacing w:val="8"/>
          <w:sz w:val="24"/>
          <w:highlight w:val="none"/>
        </w:rPr>
      </w:pPr>
      <w:r>
        <w:rPr>
          <w:rFonts w:hint="eastAsia" w:ascii="宋体" w:hAnsi="宋体"/>
          <w:color w:val="auto"/>
          <w:spacing w:val="8"/>
          <w:sz w:val="24"/>
          <w:highlight w:val="none"/>
        </w:rPr>
        <w:t>不可抗力。</w:t>
      </w:r>
    </w:p>
    <w:p>
      <w:pPr>
        <w:adjustRightInd w:val="0"/>
        <w:snapToGrid w:val="0"/>
        <w:spacing w:line="560" w:lineRule="exact"/>
        <w:rPr>
          <w:rFonts w:hint="eastAsia" w:ascii="宋体" w:hAnsi="宋体"/>
          <w:color w:val="auto"/>
          <w:spacing w:val="8"/>
          <w:sz w:val="24"/>
          <w:highlight w:val="none"/>
        </w:rPr>
      </w:pPr>
      <w:r>
        <w:rPr>
          <w:rFonts w:hint="eastAsia" w:ascii="宋体" w:hAnsi="宋体"/>
          <w:color w:val="auto"/>
          <w:spacing w:val="8"/>
          <w:sz w:val="24"/>
          <w:highlight w:val="none"/>
        </w:rPr>
        <w:t xml:space="preserve">    发生以上情况时，乙方应在5日内，及时将调整的原因、金额以书面的形式（附有详细估算和甲方的指示）报送甲方，甲方应在收到报告后3天内给予答复。</w:t>
      </w:r>
    </w:p>
    <w:p>
      <w:pPr>
        <w:adjustRightInd w:val="0"/>
        <w:snapToGrid w:val="0"/>
        <w:spacing w:line="560" w:lineRule="exact"/>
        <w:rPr>
          <w:rFonts w:hint="eastAsia" w:ascii="宋体" w:hAnsi="宋体"/>
          <w:color w:val="auto"/>
          <w:spacing w:val="8"/>
          <w:sz w:val="24"/>
          <w:highlight w:val="none"/>
        </w:rPr>
      </w:pPr>
      <w:r>
        <w:rPr>
          <w:rFonts w:hint="eastAsia" w:ascii="宋体" w:hAnsi="宋体"/>
          <w:color w:val="auto"/>
          <w:spacing w:val="8"/>
          <w:sz w:val="24"/>
          <w:highlight w:val="none"/>
        </w:rPr>
        <w:t>5.3在供货期间，乙方应承受因政策变化、物价变动、工资和管理费用变动等因素而产生的风险，不得提出任何新的要求。</w:t>
      </w:r>
    </w:p>
    <w:p>
      <w:pPr>
        <w:adjustRightInd w:val="0"/>
        <w:snapToGrid w:val="0"/>
        <w:spacing w:line="560" w:lineRule="exact"/>
        <w:rPr>
          <w:rFonts w:hint="eastAsia" w:ascii="宋体" w:hAnsi="宋体"/>
          <w:color w:val="auto"/>
          <w:spacing w:val="8"/>
          <w:sz w:val="24"/>
          <w:highlight w:val="none"/>
        </w:rPr>
      </w:pPr>
      <w:r>
        <w:rPr>
          <w:rFonts w:hint="eastAsia" w:ascii="宋体" w:hAnsi="宋体"/>
          <w:color w:val="auto"/>
          <w:spacing w:val="8"/>
          <w:sz w:val="24"/>
          <w:highlight w:val="none"/>
        </w:rPr>
        <w:t>5.4除合同另有说明外，本项目发生的任何直接费用及与本项目有关的其他费用（税金、保险等应向政府部门交纳的费用）均已包括在本合同造价内。</w:t>
      </w:r>
    </w:p>
    <w:p>
      <w:pPr>
        <w:tabs>
          <w:tab w:val="left" w:pos="1290"/>
        </w:tabs>
        <w:adjustRightInd w:val="0"/>
        <w:snapToGrid w:val="0"/>
        <w:spacing w:line="560" w:lineRule="exact"/>
        <w:jc w:val="center"/>
        <w:rPr>
          <w:rFonts w:hint="eastAsia" w:ascii="宋体" w:hAnsi="宋体"/>
          <w:b/>
          <w:color w:val="auto"/>
          <w:spacing w:val="8"/>
          <w:sz w:val="24"/>
          <w:highlight w:val="none"/>
        </w:rPr>
      </w:pPr>
      <w:r>
        <w:rPr>
          <w:rFonts w:hint="eastAsia" w:ascii="宋体" w:hAnsi="宋体"/>
          <w:b/>
          <w:color w:val="auto"/>
          <w:spacing w:val="8"/>
          <w:sz w:val="24"/>
          <w:highlight w:val="none"/>
        </w:rPr>
        <w:t>第六章</w:t>
      </w:r>
      <w:r>
        <w:rPr>
          <w:rFonts w:ascii="宋体" w:hAnsi="宋体"/>
          <w:b/>
          <w:color w:val="auto"/>
          <w:spacing w:val="8"/>
          <w:sz w:val="24"/>
          <w:highlight w:val="none"/>
        </w:rPr>
        <w:t xml:space="preserve">  </w:t>
      </w:r>
      <w:r>
        <w:rPr>
          <w:rFonts w:hint="eastAsia" w:ascii="宋体" w:hAnsi="宋体"/>
          <w:b/>
          <w:color w:val="auto"/>
          <w:spacing w:val="8"/>
          <w:sz w:val="24"/>
          <w:highlight w:val="none"/>
        </w:rPr>
        <w:t>双方权利与责任</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6.1甲方责任：</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6.1.1负责提供设备临时存放场地；</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6.1.2负责协调、处理现场有安装、调试进度、技术质量、检查验收和审核货款支付以及洽商签证等事宜；</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6.1.3负责向乙方提供设备就位场地，并清理有关部位的杂物等；</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6.1.4负责乙方验收移交后的成品保护。</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6.2乙方责任：</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6.2.1乙方应遵守国家、省、市关于设备的有关规定，并已获得在本地从事设备供货的资格，有关资料虽经甲方审查，亦不能因此减免乙方应付的上述任何责任；</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6.2.2指派经甲方资格审查合格的现场项目负责人，根据合同规定处理现场安装、调试到验收合格有关事宜，项目负责人或其授权代表必须参加甲方召开的生产协调会，并代表乙方做出决定；</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6.2.3负责处理现场有关供货进度、技术参数、检查验收和洽商签证等问题；</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6.2.4根据合同、设计变更单供货、安装、调试，作好自检工作，作好原始记录的收集、整理工作，确保供货产品质量，一切因乙方原因导致的责任和经济费用均由乙方承担；</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6.2.5负责操作人员的技术培训；</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6.2.6货物堆放整齐，及时将垃圾运至甲方指定的地点，保持现场的清洁；</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6.2.7遵守政府有关部门对场地交通、市容和施工噪音的管理规定，并承担因此而发生的费用和因违反规定而受到的罚款；</w:t>
      </w:r>
    </w:p>
    <w:p>
      <w:pPr>
        <w:pStyle w:val="14"/>
        <w:adjustRightInd w:val="0"/>
        <w:snapToGrid w:val="0"/>
        <w:spacing w:line="560" w:lineRule="exact"/>
        <w:rPr>
          <w:rFonts w:hint="eastAsia" w:ascii="宋体" w:hAnsi="宋体"/>
          <w:color w:val="auto"/>
          <w:spacing w:val="8"/>
          <w:highlight w:val="none"/>
          <w:u w:val="single"/>
        </w:rPr>
      </w:pPr>
      <w:r>
        <w:rPr>
          <w:rFonts w:hint="eastAsia" w:ascii="宋体" w:hAnsi="宋体"/>
          <w:color w:val="auto"/>
          <w:spacing w:val="8"/>
          <w:highlight w:val="none"/>
        </w:rPr>
        <w:t>6.2.8自行办理所属现场人员生命财产和机械设备的保险并支付保险费用；</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6.2.9接受甲方现场管理人员的监督和检查，遵照指示工作，并为其日常查验提供便利和安全条件，如接到指示而未执行时，因此而产生的损失和费用由乙方承担；</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 xml:space="preserve">6.2.10设备到达指定地点时须带完整包装，未正式起用前，不得去掉保护膜。 </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6.2.11未通过验收、交付甲方使用之前，应做好成品保护工作。</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6.2.12自设备供货验收合格之日起，乙方对本供货产品负责保修，保修期为</w:t>
      </w:r>
      <w:r>
        <w:rPr>
          <w:rFonts w:hint="eastAsia" w:ascii="宋体" w:hAnsi="宋体"/>
          <w:color w:val="auto"/>
          <w:spacing w:val="8"/>
          <w:highlight w:val="none"/>
          <w:u w:val="single"/>
        </w:rPr>
        <w:t xml:space="preserve"> </w:t>
      </w:r>
      <w:r>
        <w:rPr>
          <w:rFonts w:hint="eastAsia" w:ascii="宋体" w:hAnsi="宋体"/>
          <w:color w:val="auto"/>
          <w:spacing w:val="8"/>
          <w:highlight w:val="none"/>
          <w:u w:val="single"/>
          <w:lang w:val="en-US" w:eastAsia="zh-CN"/>
        </w:rPr>
        <w:t xml:space="preserve"> 年</w:t>
      </w:r>
      <w:r>
        <w:rPr>
          <w:rFonts w:hint="eastAsia" w:ascii="宋体" w:hAnsi="宋体"/>
          <w:color w:val="auto"/>
          <w:spacing w:val="8"/>
          <w:highlight w:val="none"/>
          <w:u w:val="single"/>
        </w:rPr>
        <w:t xml:space="preserve"> </w:t>
      </w:r>
      <w:r>
        <w:rPr>
          <w:rFonts w:hint="eastAsia" w:ascii="宋体" w:hAnsi="宋体"/>
          <w:color w:val="auto"/>
          <w:spacing w:val="8"/>
          <w:highlight w:val="none"/>
        </w:rPr>
        <w:t>，在此期间发生质量问题，由乙方自费修复；</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6.2.13对于甲方发送的有关意见、通知，乙方亦承担有关相应的责任；</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6.2.14乙方未履行上述各项义务，造成质量事故、工期延误、人员生命财产损害和经济损失须承担全部责任，并赔偿甲方因此受到的经济损失；</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6.3甲方权利：</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6.3.1甲方有权对整个设备供货进行统一指挥、调度，进行质量、进度控制；</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6.3.2乙方的货款支付须有甲方确认签字；</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6.4乙方权利：</w:t>
      </w:r>
    </w:p>
    <w:p>
      <w:pPr>
        <w:pStyle w:val="14"/>
        <w:adjustRightInd w:val="0"/>
        <w:snapToGrid w:val="0"/>
        <w:spacing w:line="560" w:lineRule="exact"/>
        <w:ind w:firstLine="512" w:firstLineChars="200"/>
        <w:rPr>
          <w:rFonts w:hint="eastAsia" w:ascii="宋体" w:hAnsi="宋体"/>
          <w:color w:val="auto"/>
          <w:spacing w:val="8"/>
          <w:highlight w:val="none"/>
        </w:rPr>
      </w:pPr>
      <w:r>
        <w:rPr>
          <w:rFonts w:hint="eastAsia" w:ascii="宋体" w:hAnsi="宋体"/>
          <w:color w:val="auto"/>
          <w:spacing w:val="8"/>
          <w:highlight w:val="none"/>
        </w:rPr>
        <w:t>若由于甲方原因出现如逾期付款、未按有关要求验收或甲方的原因导致乙方延期交工等双方协商解决。</w:t>
      </w:r>
    </w:p>
    <w:p>
      <w:pPr>
        <w:tabs>
          <w:tab w:val="left" w:pos="1290"/>
        </w:tabs>
        <w:adjustRightInd w:val="0"/>
        <w:snapToGrid w:val="0"/>
        <w:spacing w:line="560" w:lineRule="exact"/>
        <w:jc w:val="center"/>
        <w:rPr>
          <w:rFonts w:hint="eastAsia" w:ascii="宋体" w:hAnsi="宋体"/>
          <w:b/>
          <w:color w:val="auto"/>
          <w:spacing w:val="8"/>
          <w:sz w:val="24"/>
          <w:highlight w:val="none"/>
        </w:rPr>
      </w:pPr>
      <w:r>
        <w:rPr>
          <w:rFonts w:hint="eastAsia" w:ascii="宋体" w:hAnsi="宋体"/>
          <w:b/>
          <w:color w:val="auto"/>
          <w:spacing w:val="8"/>
          <w:sz w:val="24"/>
          <w:highlight w:val="none"/>
        </w:rPr>
        <w:t>第七章   供货延期</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7.1因甲方原因提出推迟供货期,甲方书面通知乙方并相应顺延供货期。</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7.2若乙方不能按合同约定日期供货，应提前5天提出延期供货书面申请报甲方审批，并承担相应责任。</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7.3甲方代表在确有必要时，可要求乙方暂停供货，并在48小时内提出处理意见，乙方按甲方要求停止供货，妥善保护已供产品，待具备条件时继续供货。</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7.4因乙方责任引起的停止供货，由乙方承担发生的费用，供货期不予顺延。</w:t>
      </w:r>
    </w:p>
    <w:p>
      <w:pPr>
        <w:tabs>
          <w:tab w:val="left" w:pos="1290"/>
        </w:tabs>
        <w:adjustRightInd w:val="0"/>
        <w:snapToGrid w:val="0"/>
        <w:spacing w:line="560" w:lineRule="exact"/>
        <w:jc w:val="center"/>
        <w:rPr>
          <w:rFonts w:hint="eastAsia" w:ascii="宋体" w:hAnsi="宋体"/>
          <w:b/>
          <w:color w:val="auto"/>
          <w:spacing w:val="8"/>
          <w:sz w:val="24"/>
          <w:highlight w:val="none"/>
        </w:rPr>
      </w:pPr>
      <w:r>
        <w:rPr>
          <w:rFonts w:hint="eastAsia" w:ascii="宋体" w:hAnsi="宋体"/>
          <w:b/>
          <w:color w:val="auto"/>
          <w:spacing w:val="8"/>
          <w:sz w:val="24"/>
          <w:highlight w:val="none"/>
        </w:rPr>
        <w:t>第八章  设计变更</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8.1甲方增加供货内容或修改供货范围时，应提前5天书面通知乙方，乙方根据变更通知单组织实施。</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8.2 发现提供的资料存在错误或其他疑问，乙方应书面通知甲方，办理变更洽商。</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8.3本项目（或部分项目）如被要求停止供货或暂缓供货，甲乙双方协商将供货设备放置到合理部位。</w:t>
      </w:r>
    </w:p>
    <w:p>
      <w:pPr>
        <w:tabs>
          <w:tab w:val="left" w:pos="1290"/>
        </w:tabs>
        <w:adjustRightInd w:val="0"/>
        <w:snapToGrid w:val="0"/>
        <w:spacing w:line="560" w:lineRule="exact"/>
        <w:jc w:val="center"/>
        <w:rPr>
          <w:rFonts w:hint="eastAsia" w:ascii="宋体" w:hAnsi="宋体"/>
          <w:b/>
          <w:color w:val="auto"/>
          <w:spacing w:val="8"/>
          <w:sz w:val="24"/>
          <w:highlight w:val="none"/>
        </w:rPr>
      </w:pPr>
      <w:r>
        <w:rPr>
          <w:rFonts w:hint="eastAsia" w:ascii="宋体" w:hAnsi="宋体"/>
          <w:b/>
          <w:color w:val="auto"/>
          <w:spacing w:val="8"/>
          <w:sz w:val="24"/>
          <w:highlight w:val="none"/>
        </w:rPr>
        <w:t>第九章  供货</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9.1均应按中标后最终确定品牌、型号、厂家供货，并符合规范，技术参数及功能要求所规定的种类标准，并提供一切有关质量合格证明。</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9.2乙方货品到</w:t>
      </w:r>
      <w:r>
        <w:rPr>
          <w:rFonts w:hint="eastAsia" w:ascii="宋体" w:hAnsi="宋体"/>
          <w:color w:val="auto"/>
          <w:spacing w:val="8"/>
          <w:highlight w:val="none"/>
          <w:lang w:eastAsia="zh-CN"/>
        </w:rPr>
        <w:t>甲方指定地点</w:t>
      </w:r>
      <w:r>
        <w:rPr>
          <w:rFonts w:hint="eastAsia" w:ascii="宋体" w:hAnsi="宋体"/>
          <w:color w:val="auto"/>
          <w:spacing w:val="8"/>
          <w:highlight w:val="none"/>
        </w:rPr>
        <w:t>前，需提前24小时通知甲方进行开箱检查。检查合格后由乙方妥善保管。</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9.3乙方提供的货品应包括足够的附件、配件和专用工具以及技术说明书。</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9.4若货品需要进口的，乙方负责有关手续和相应的费用。</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9.5乙方使用替代产品须经甲方同意，并能符合有关要求。</w:t>
      </w:r>
    </w:p>
    <w:p>
      <w:pPr>
        <w:tabs>
          <w:tab w:val="left" w:pos="1290"/>
        </w:tabs>
        <w:adjustRightInd w:val="0"/>
        <w:snapToGrid w:val="0"/>
        <w:spacing w:line="560" w:lineRule="exact"/>
        <w:jc w:val="center"/>
        <w:rPr>
          <w:rFonts w:hint="eastAsia" w:ascii="宋体" w:hAnsi="宋体"/>
          <w:b/>
          <w:color w:val="auto"/>
          <w:spacing w:val="8"/>
          <w:sz w:val="24"/>
          <w:highlight w:val="none"/>
        </w:rPr>
      </w:pPr>
      <w:r>
        <w:rPr>
          <w:rFonts w:hint="eastAsia" w:ascii="宋体" w:hAnsi="宋体"/>
          <w:b/>
          <w:color w:val="auto"/>
          <w:spacing w:val="8"/>
          <w:sz w:val="24"/>
          <w:highlight w:val="none"/>
        </w:rPr>
        <w:t>第十章  质量检验及验收</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 xml:space="preserve">10.1乙方供货产品必须遵照国家颁发的相关规范和质量检验标准以及设计图纸要求，并建立健全质量、环保保证体系，健全质量日常检查制度，作好自检记录。 </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10.2乙方应按甲方要求和国家、省、市有关规定及时提供供货产品的有关技术资料。</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10.3供货质量等级：</w:t>
      </w:r>
      <w:r>
        <w:rPr>
          <w:rFonts w:hint="eastAsia" w:ascii="宋体" w:hAnsi="宋体"/>
          <w:color w:val="auto"/>
          <w:spacing w:val="8"/>
          <w:highlight w:val="none"/>
          <w:u w:val="single"/>
        </w:rPr>
        <w:t xml:space="preserve"> </w:t>
      </w:r>
      <w:r>
        <w:rPr>
          <w:rFonts w:hint="eastAsia" w:ascii="宋体" w:hAnsi="宋体"/>
          <w:color w:val="auto"/>
          <w:spacing w:val="8"/>
          <w:highlight w:val="none"/>
          <w:u w:val="single"/>
          <w:lang w:val="en-US" w:eastAsia="zh-CN"/>
        </w:rPr>
        <w:t xml:space="preserve">   </w:t>
      </w:r>
      <w:r>
        <w:rPr>
          <w:rFonts w:hint="eastAsia" w:ascii="宋体" w:hAnsi="宋体"/>
          <w:color w:val="auto"/>
          <w:spacing w:val="8"/>
          <w:highlight w:val="none"/>
          <w:u w:val="single"/>
        </w:rPr>
        <w:t xml:space="preserve"> </w:t>
      </w:r>
      <w:r>
        <w:rPr>
          <w:rFonts w:hint="eastAsia" w:ascii="宋体" w:hAnsi="宋体"/>
          <w:color w:val="auto"/>
          <w:spacing w:val="8"/>
          <w:highlight w:val="none"/>
        </w:rPr>
        <w:t>。</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10.4质量等级评定应根据国家规范执行，若供货产品有更高规定时，乙方必须遵守，但不得要求增加费用。</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 xml:space="preserve">10.5经检查、检验合格后，又发现由乙方引起的质量问题，仍由乙方承担责任并赔偿甲方损失。 </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10.6任何材料或覆盖部分的检查测试须提前24小时通知甲方，而上述开启、测试（含修复费用）费用应认为已包括在合同价内；如未通知甲方及监理，则乙方承担因此发生的全部费用和损失，供货期亦不予顺延。</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10.7乙方按协议规定完成合同内全部工作，整理齐全资料后可向甲方提出验收要求；验收按国家规定程序办理，自签发验收单之日5天内将供货产品移交给甲方。</w:t>
      </w:r>
    </w:p>
    <w:p>
      <w:pPr>
        <w:pStyle w:val="14"/>
        <w:adjustRightInd w:val="0"/>
        <w:snapToGrid w:val="0"/>
        <w:spacing w:line="560" w:lineRule="exact"/>
        <w:jc w:val="center"/>
        <w:rPr>
          <w:rFonts w:hint="eastAsia" w:ascii="宋体" w:hAnsi="宋体"/>
          <w:b/>
          <w:color w:val="auto"/>
          <w:spacing w:val="8"/>
          <w:highlight w:val="none"/>
        </w:rPr>
      </w:pPr>
      <w:r>
        <w:rPr>
          <w:rFonts w:hint="eastAsia" w:ascii="宋体" w:hAnsi="宋体"/>
          <w:b/>
          <w:color w:val="auto"/>
          <w:spacing w:val="8"/>
          <w:highlight w:val="none"/>
        </w:rPr>
        <w:t>第十一章    产品保修</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11.1 保修期：执行现行行业标准，保修期结束后乙方对设备实行终身维修（只收取成本费）。</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11.2如果保修期间或在此之前产品发生质量缺陷，确因乙方未遵守合同义务所造成的，则由乙方自费负责维修、更换。</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11.3为调查上述质量缺陷而支出的费用，在查明缺陷产生的原因之后，由责任方承担。</w:t>
      </w:r>
    </w:p>
    <w:p>
      <w:pPr>
        <w:pStyle w:val="14"/>
        <w:adjustRightInd w:val="0"/>
        <w:snapToGrid w:val="0"/>
        <w:spacing w:line="560" w:lineRule="exact"/>
        <w:jc w:val="center"/>
        <w:rPr>
          <w:rFonts w:hint="eastAsia" w:ascii="宋体" w:hAnsi="宋体"/>
          <w:b/>
          <w:color w:val="auto"/>
          <w:spacing w:val="8"/>
          <w:highlight w:val="none"/>
        </w:rPr>
      </w:pPr>
      <w:r>
        <w:rPr>
          <w:rFonts w:hint="eastAsia" w:ascii="宋体" w:hAnsi="宋体"/>
          <w:b/>
          <w:color w:val="auto"/>
          <w:spacing w:val="8"/>
          <w:highlight w:val="none"/>
        </w:rPr>
        <w:t>第十二章    违约</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12.1因甲方原因给乙方造成损失的应承担违约责任，并相应顺延供货期。</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12.2乙方不能按合同供货（包括分阶段供货），实际供货期比合同供货期每拖延1天，按造价的3‰进行罚款。</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12.3乙方供货质量达不到合同和规范要求，应赔偿甲方经济损失，必要时甲方有权终止合同。</w:t>
      </w:r>
    </w:p>
    <w:p>
      <w:pPr>
        <w:pStyle w:val="14"/>
        <w:adjustRightInd w:val="0"/>
        <w:snapToGrid w:val="0"/>
        <w:spacing w:line="560" w:lineRule="exact"/>
        <w:jc w:val="center"/>
        <w:rPr>
          <w:rFonts w:hint="eastAsia" w:ascii="宋体" w:hAnsi="宋体"/>
          <w:b/>
          <w:color w:val="auto"/>
          <w:spacing w:val="8"/>
          <w:highlight w:val="none"/>
        </w:rPr>
      </w:pPr>
      <w:r>
        <w:rPr>
          <w:rFonts w:hint="eastAsia" w:ascii="宋体" w:hAnsi="宋体"/>
          <w:b/>
          <w:color w:val="auto"/>
          <w:spacing w:val="8"/>
          <w:highlight w:val="none"/>
        </w:rPr>
        <w:t>第十三章   不可抗力</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13.1发生诸如自然灾害、突发事件、政府行为等人力不可抗拒的情况，乙方应积极采取措施减少损失，并及时报告受害情况和修复、更换费用，人员的伤亡和供货产品的损坏以及乙方停工损失由</w:t>
      </w:r>
      <w:r>
        <w:rPr>
          <w:rFonts w:hint="eastAsia" w:ascii="宋体" w:hAnsi="宋体"/>
          <w:color w:val="auto"/>
          <w:spacing w:val="8"/>
          <w:highlight w:val="none"/>
          <w:lang w:val="en-US" w:eastAsia="zh-CN"/>
        </w:rPr>
        <w:t>甲</w:t>
      </w:r>
      <w:r>
        <w:rPr>
          <w:rFonts w:hint="eastAsia" w:ascii="宋体" w:hAnsi="宋体"/>
          <w:color w:val="auto"/>
          <w:spacing w:val="8"/>
          <w:highlight w:val="none"/>
        </w:rPr>
        <w:t>乙</w:t>
      </w:r>
      <w:r>
        <w:rPr>
          <w:rFonts w:hint="eastAsia" w:ascii="宋体" w:hAnsi="宋体"/>
          <w:color w:val="auto"/>
          <w:spacing w:val="8"/>
          <w:highlight w:val="none"/>
          <w:lang w:val="en-US" w:eastAsia="zh-CN"/>
        </w:rPr>
        <w:t>双</w:t>
      </w:r>
      <w:r>
        <w:rPr>
          <w:rFonts w:hint="eastAsia" w:ascii="宋体" w:hAnsi="宋体"/>
          <w:color w:val="auto"/>
          <w:spacing w:val="8"/>
          <w:highlight w:val="none"/>
        </w:rPr>
        <w:t>方</w:t>
      </w:r>
      <w:r>
        <w:rPr>
          <w:rFonts w:hint="eastAsia" w:ascii="宋体" w:hAnsi="宋体"/>
          <w:color w:val="auto"/>
          <w:spacing w:val="8"/>
          <w:highlight w:val="none"/>
          <w:lang w:val="en-US" w:eastAsia="zh-CN"/>
        </w:rPr>
        <w:t>协商解决</w:t>
      </w:r>
      <w:r>
        <w:rPr>
          <w:rFonts w:hint="eastAsia" w:ascii="宋体" w:hAnsi="宋体"/>
          <w:color w:val="auto"/>
          <w:spacing w:val="8"/>
          <w:highlight w:val="none"/>
        </w:rPr>
        <w:t>。</w:t>
      </w:r>
    </w:p>
    <w:p>
      <w:pPr>
        <w:pStyle w:val="14"/>
        <w:adjustRightInd w:val="0"/>
        <w:snapToGrid w:val="0"/>
        <w:spacing w:line="560" w:lineRule="exact"/>
        <w:jc w:val="center"/>
        <w:rPr>
          <w:rFonts w:hint="eastAsia" w:ascii="宋体" w:hAnsi="宋体"/>
          <w:b/>
          <w:color w:val="auto"/>
          <w:spacing w:val="8"/>
          <w:highlight w:val="none"/>
        </w:rPr>
      </w:pPr>
      <w:r>
        <w:rPr>
          <w:rFonts w:hint="eastAsia" w:ascii="宋体" w:hAnsi="宋体"/>
          <w:b/>
          <w:color w:val="auto"/>
          <w:spacing w:val="8"/>
          <w:highlight w:val="none"/>
        </w:rPr>
        <w:t>第十四章   争议的解决</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14.1双方就合同条款的解释、执行及与供货密切相关的事项发生争议，双方应友好协商解决，协商不成，双方同意提交有关仲裁委员会或上诉法院。</w:t>
      </w:r>
    </w:p>
    <w:p>
      <w:pPr>
        <w:pStyle w:val="14"/>
        <w:adjustRightInd w:val="0"/>
        <w:snapToGrid w:val="0"/>
        <w:spacing w:line="560" w:lineRule="exact"/>
        <w:jc w:val="center"/>
        <w:rPr>
          <w:rFonts w:hint="eastAsia" w:ascii="宋体" w:hAnsi="宋体"/>
          <w:b/>
          <w:color w:val="auto"/>
          <w:spacing w:val="8"/>
          <w:highlight w:val="none"/>
        </w:rPr>
      </w:pPr>
      <w:r>
        <w:rPr>
          <w:rFonts w:hint="eastAsia" w:ascii="宋体" w:hAnsi="宋体"/>
          <w:b/>
          <w:color w:val="auto"/>
          <w:spacing w:val="8"/>
          <w:highlight w:val="none"/>
        </w:rPr>
        <w:t>第十五章    合同文件及解释顺序</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15.1合同文件及解释顺序为：</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15.1.1合同条款；</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15.1.2双方签认的洽商变更单、供货记录；</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15.1.3本项目的招标文件、投标文件；</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15.1.4有关设计图纸及设计说明等；</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15.1.5国家有关合同管理规定；</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15.1.6国家产品技术规范及验收规范。</w:t>
      </w:r>
    </w:p>
    <w:p>
      <w:pPr>
        <w:pStyle w:val="14"/>
        <w:adjustRightInd w:val="0"/>
        <w:snapToGrid w:val="0"/>
        <w:spacing w:line="560" w:lineRule="exact"/>
        <w:ind w:firstLine="512" w:firstLineChars="200"/>
        <w:rPr>
          <w:rFonts w:hint="eastAsia" w:ascii="宋体" w:hAnsi="宋体"/>
          <w:color w:val="auto"/>
          <w:spacing w:val="8"/>
          <w:highlight w:val="none"/>
        </w:rPr>
      </w:pPr>
      <w:r>
        <w:rPr>
          <w:rFonts w:hint="eastAsia" w:ascii="宋体" w:hAnsi="宋体"/>
          <w:color w:val="auto"/>
          <w:spacing w:val="8"/>
          <w:highlight w:val="none"/>
        </w:rPr>
        <w:t>上述文件应能保持一致或互为补充说明，当发生歧义或模糊不清时，在不影响供货进度的情况下，双方协商解决。</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14.2甲乙双方任何一方不得将上述任何文件（全部或部分地）作为本合同以外的其他用途。</w:t>
      </w:r>
    </w:p>
    <w:p>
      <w:pPr>
        <w:pStyle w:val="14"/>
        <w:adjustRightInd w:val="0"/>
        <w:snapToGrid w:val="0"/>
        <w:spacing w:line="560" w:lineRule="exact"/>
        <w:jc w:val="center"/>
        <w:rPr>
          <w:rFonts w:hint="eastAsia" w:ascii="宋体" w:hAnsi="宋体"/>
          <w:b/>
          <w:color w:val="auto"/>
          <w:spacing w:val="8"/>
          <w:highlight w:val="none"/>
        </w:rPr>
      </w:pPr>
      <w:r>
        <w:rPr>
          <w:rFonts w:hint="eastAsia" w:ascii="宋体" w:hAnsi="宋体"/>
          <w:b/>
          <w:color w:val="auto"/>
          <w:spacing w:val="8"/>
          <w:highlight w:val="none"/>
        </w:rPr>
        <w:t>第十六章   其他</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16.1本供货合同不允许转让和非法分包。</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16.2甲方有权要求乙方更换其提供的而甲方认为不能胜任工作或玩忽职守的人员，乙方应在5天内将上述人员撤离现场并补报胜任的人员到岗。</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16.3.甲方委托乙方完成的本合同承包范围之外的零星产品供货单独结算（凭甲方签发的委托书、质量验收合格单及预算书）。</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16.4乙方在签订合同时须提供较详细产品报价单。</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16.5本合同自甲方、乙方签字盖章后确认之日起生效，供货完成结清全部价款和签订保修协议后失效。</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16.6合同一式陆份，甲乙双方各执三份。</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16.7本合同的补充协议和附件与合同具有同等法律效力。</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16.8对于合同的未尽事宜，需进行修改、补充和完善的，甲乙双方必须就所修改的内容签订书面的合同修改书，作为合同的补充协议。 本合同为业主单位和供货单位所签订的总合同，如有必要，供货单位需和业主单位中的多个设备使用单位签订子合同，效力以子合同为准。</w:t>
      </w:r>
      <w:r>
        <w:rPr>
          <w:rFonts w:hint="eastAsia" w:ascii="宋体" w:hAnsi="宋体"/>
          <w:color w:val="auto"/>
          <w:spacing w:val="8"/>
          <w:highlight w:val="none"/>
        </w:rPr>
        <w:br w:type="textWrapping"/>
      </w:r>
      <w:r>
        <w:rPr>
          <w:rFonts w:hint="eastAsia" w:ascii="宋体" w:hAnsi="宋体"/>
          <w:color w:val="auto"/>
          <w:spacing w:val="8"/>
          <w:highlight w:val="none"/>
        </w:rPr>
        <w:t xml:space="preserve">甲方（盖章）：                             乙方（盖章）： </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法定代表人(印鉴)：                         法定代表人(印鉴)：</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 xml:space="preserve">法人授权代表（签字）：                      法人授权代表（签字）：  </w:t>
      </w:r>
    </w:p>
    <w:p>
      <w:pPr>
        <w:pStyle w:val="14"/>
        <w:adjustRightInd w:val="0"/>
        <w:snapToGrid w:val="0"/>
        <w:spacing w:line="560" w:lineRule="exact"/>
        <w:rPr>
          <w:rFonts w:hint="eastAsia" w:ascii="宋体" w:hAnsi="宋体"/>
          <w:color w:val="auto"/>
          <w:spacing w:val="8"/>
          <w:highlight w:val="none"/>
        </w:rPr>
      </w:pPr>
      <w:r>
        <w:rPr>
          <w:rFonts w:hint="eastAsia" w:ascii="宋体" w:hAnsi="宋体"/>
          <w:color w:val="auto"/>
          <w:spacing w:val="8"/>
          <w:highlight w:val="none"/>
        </w:rPr>
        <w:t xml:space="preserve">         年  月  日                               年  月  日</w:t>
      </w:r>
    </w:p>
    <w:p>
      <w:pPr>
        <w:pStyle w:val="14"/>
        <w:adjustRightInd w:val="0"/>
        <w:snapToGrid w:val="0"/>
        <w:spacing w:line="560" w:lineRule="exact"/>
        <w:rPr>
          <w:rFonts w:hint="eastAsia" w:ascii="宋体" w:hAnsi="宋体"/>
          <w:color w:val="auto"/>
          <w:spacing w:val="8"/>
          <w:highlight w:val="none"/>
        </w:rPr>
      </w:pPr>
    </w:p>
    <w:p>
      <w:pPr>
        <w:adjustRightInd w:val="0"/>
        <w:snapToGrid w:val="0"/>
        <w:spacing w:line="240" w:lineRule="auto"/>
        <w:ind w:firstLine="480"/>
        <w:jc w:val="center"/>
        <w:outlineLvl w:val="0"/>
        <w:rPr>
          <w:rFonts w:hint="eastAsia" w:ascii="宋体" w:hAnsi="宋体" w:eastAsia="宋体"/>
          <w:color w:val="auto"/>
          <w:spacing w:val="8"/>
          <w:sz w:val="24"/>
          <w:highlight w:val="none"/>
          <w:lang w:eastAsia="zh-CN"/>
        </w:rPr>
      </w:pPr>
      <w:r>
        <w:rPr>
          <w:rFonts w:ascii="宋体" w:hAnsi="宋体"/>
          <w:color w:val="auto"/>
          <w:spacing w:val="8"/>
          <w:sz w:val="24"/>
          <w:highlight w:val="none"/>
        </w:rPr>
        <w:br w:type="page"/>
      </w:r>
      <w:bookmarkStart w:id="16" w:name="_Toc11280"/>
      <w:r>
        <w:rPr>
          <w:rStyle w:val="65"/>
          <w:rFonts w:hint="eastAsia"/>
          <w:color w:val="auto"/>
          <w:highlight w:val="none"/>
        </w:rPr>
        <w:t>第五部分  招标</w:t>
      </w:r>
      <w:r>
        <w:rPr>
          <w:rStyle w:val="65"/>
          <w:rFonts w:hint="eastAsia"/>
          <w:color w:val="auto"/>
          <w:highlight w:val="none"/>
          <w:lang w:eastAsia="zh-CN"/>
        </w:rPr>
        <w:t>需求</w:t>
      </w:r>
      <w:bookmarkEnd w:id="16"/>
    </w:p>
    <w:p>
      <w:pPr>
        <w:numPr>
          <w:ilvl w:val="0"/>
          <w:numId w:val="10"/>
        </w:numPr>
        <w:spacing w:line="576" w:lineRule="exact"/>
        <w:ind w:firstLine="562" w:firstLineChars="200"/>
        <w:jc w:val="left"/>
        <w:rPr>
          <w:rFonts w:hint="eastAsia" w:ascii="宋体" w:hAnsi="宋体" w:eastAsia="宋体" w:cs="宋体"/>
          <w:sz w:val="28"/>
          <w:szCs w:val="28"/>
          <w:lang w:eastAsia="zh-CN"/>
        </w:rPr>
      </w:pPr>
      <w:bookmarkStart w:id="17" w:name="_Toc23394"/>
      <w:r>
        <w:rPr>
          <w:rFonts w:hint="eastAsia" w:ascii="宋体" w:hAnsi="宋体" w:eastAsia="宋体" w:cs="宋体"/>
          <w:b/>
          <w:bCs/>
          <w:sz w:val="28"/>
          <w:szCs w:val="28"/>
          <w:lang w:val="en-US" w:eastAsia="zh-CN"/>
        </w:rPr>
        <w:t>采购清单</w:t>
      </w:r>
      <w:r>
        <w:rPr>
          <w:rFonts w:hint="eastAsia" w:ascii="宋体" w:hAnsi="宋体" w:cs="宋体"/>
          <w:b/>
          <w:bCs/>
          <w:sz w:val="28"/>
          <w:szCs w:val="28"/>
          <w:lang w:val="en-US" w:eastAsia="zh-CN"/>
        </w:rPr>
        <w:t>：</w:t>
      </w:r>
    </w:p>
    <w:tbl>
      <w:tblPr>
        <w:tblStyle w:val="32"/>
        <w:tblpPr w:leftFromText="180" w:rightFromText="180" w:vertAnchor="text" w:horzAnchor="page" w:tblpXSpec="center" w:tblpY="219"/>
        <w:tblOverlap w:val="never"/>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74"/>
        <w:gridCol w:w="67"/>
        <w:gridCol w:w="1375"/>
        <w:gridCol w:w="365"/>
        <w:gridCol w:w="2600"/>
        <w:gridCol w:w="693"/>
        <w:gridCol w:w="715"/>
        <w:gridCol w:w="2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4" w:hRule="atLeast"/>
          <w:jc w:val="center"/>
        </w:trPr>
        <w:tc>
          <w:tcPr>
            <w:tcW w:w="541"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序号</w:t>
            </w:r>
          </w:p>
        </w:tc>
        <w:tc>
          <w:tcPr>
            <w:tcW w:w="1740" w:type="dxa"/>
            <w:gridSpan w:val="2"/>
            <w:vAlign w:val="center"/>
          </w:tcPr>
          <w:p>
            <w:pPr>
              <w:pStyle w:val="70"/>
              <w:widowControl w:val="0"/>
              <w:shd w:val="clear" w:color="auto" w:fill="auto"/>
              <w:spacing w:before="0" w:after="0" w:line="240" w:lineRule="auto"/>
              <w:ind w:left="-199" w:leftChars="-95" w:right="0" w:firstLine="210" w:firstLineChars="10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产品名称</w:t>
            </w:r>
          </w:p>
        </w:tc>
        <w:tc>
          <w:tcPr>
            <w:tcW w:w="2600" w:type="dxa"/>
            <w:vAlign w:val="center"/>
          </w:tcPr>
          <w:p>
            <w:pPr>
              <w:pStyle w:val="70"/>
              <w:widowControl w:val="0"/>
              <w:shd w:val="clear" w:color="auto" w:fill="auto"/>
              <w:spacing w:before="0" w:after="0" w:line="240" w:lineRule="auto"/>
              <w:ind w:left="0" w:leftChars="0" w:right="0" w:firstLine="210" w:firstLineChars="10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规格</w:t>
            </w:r>
          </w:p>
        </w:tc>
        <w:tc>
          <w:tcPr>
            <w:tcW w:w="693"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数量</w:t>
            </w:r>
          </w:p>
        </w:tc>
        <w:tc>
          <w:tcPr>
            <w:tcW w:w="715"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单位</w:t>
            </w:r>
          </w:p>
        </w:tc>
        <w:tc>
          <w:tcPr>
            <w:tcW w:w="2249"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4" w:hRule="atLeast"/>
          <w:jc w:val="center"/>
        </w:trPr>
        <w:tc>
          <w:tcPr>
            <w:tcW w:w="8538" w:type="dxa"/>
            <w:gridSpan w:val="8"/>
            <w:vAlign w:val="center"/>
          </w:tcPr>
          <w:p>
            <w:pPr>
              <w:pStyle w:val="70"/>
              <w:widowControl w:val="0"/>
              <w:shd w:val="clear" w:color="auto" w:fill="auto"/>
              <w:spacing w:before="0" w:after="0" w:line="240" w:lineRule="auto"/>
              <w:ind w:left="0" w:leftChars="0" w:right="0" w:firstLine="210" w:firstLineChars="10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（一）智能枪弹柜系统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0" w:hRule="atLeast"/>
          <w:jc w:val="center"/>
        </w:trPr>
        <w:tc>
          <w:tcPr>
            <w:tcW w:w="541"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1</w:t>
            </w:r>
          </w:p>
        </w:tc>
        <w:tc>
          <w:tcPr>
            <w:tcW w:w="1740"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智能短枪柜（本项目核心产品）</w:t>
            </w:r>
          </w:p>
        </w:tc>
        <w:tc>
          <w:tcPr>
            <w:tcW w:w="2600"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12寸</w:t>
            </w:r>
            <w:r>
              <w:rPr>
                <w:rFonts w:hint="eastAsia" w:cs="宋体"/>
                <w:color w:val="000000"/>
                <w:spacing w:val="0"/>
                <w:w w:val="100"/>
                <w:position w:val="0"/>
                <w:sz w:val="21"/>
                <w:szCs w:val="21"/>
                <w:highlight w:val="none"/>
                <w:lang w:val="en-US" w:eastAsia="zh-CN"/>
              </w:rPr>
              <w:t>触摸</w:t>
            </w:r>
            <w:r>
              <w:rPr>
                <w:rFonts w:hint="eastAsia" w:ascii="宋体" w:hAnsi="宋体" w:eastAsia="宋体" w:cs="宋体"/>
                <w:color w:val="000000"/>
                <w:spacing w:val="0"/>
                <w:w w:val="100"/>
                <w:position w:val="0"/>
                <w:sz w:val="21"/>
                <w:szCs w:val="21"/>
                <w:highlight w:val="none"/>
                <w:lang w:val="en-US" w:eastAsia="zh-CN"/>
              </w:rPr>
              <w:t>屏；1800mm*1</w:t>
            </w:r>
            <w:r>
              <w:rPr>
                <w:rFonts w:hint="eastAsia" w:cs="宋体"/>
                <w:color w:val="000000"/>
                <w:spacing w:val="0"/>
                <w:w w:val="100"/>
                <w:position w:val="0"/>
                <w:sz w:val="21"/>
                <w:szCs w:val="21"/>
                <w:highlight w:val="none"/>
                <w:lang w:val="en-US" w:eastAsia="zh-CN"/>
              </w:rPr>
              <w:t>0</w:t>
            </w:r>
            <w:r>
              <w:rPr>
                <w:rFonts w:hint="eastAsia" w:ascii="宋体" w:hAnsi="宋体" w:eastAsia="宋体" w:cs="宋体"/>
                <w:color w:val="000000"/>
                <w:spacing w:val="0"/>
                <w:w w:val="100"/>
                <w:position w:val="0"/>
                <w:sz w:val="21"/>
                <w:szCs w:val="21"/>
                <w:highlight w:val="none"/>
                <w:lang w:val="en-US" w:eastAsia="zh-CN"/>
              </w:rPr>
              <w:t>00mm*500mm；不少于</w:t>
            </w:r>
            <w:r>
              <w:rPr>
                <w:rFonts w:hint="eastAsia" w:cs="宋体"/>
                <w:color w:val="000000"/>
                <w:spacing w:val="0"/>
                <w:w w:val="100"/>
                <w:position w:val="0"/>
                <w:sz w:val="21"/>
                <w:szCs w:val="21"/>
                <w:highlight w:val="none"/>
                <w:lang w:val="en-US" w:eastAsia="zh-CN"/>
              </w:rPr>
              <w:t>62支</w:t>
            </w:r>
            <w:r>
              <w:rPr>
                <w:rFonts w:hint="eastAsia" w:ascii="宋体" w:hAnsi="宋体" w:eastAsia="宋体" w:cs="宋体"/>
                <w:color w:val="000000"/>
                <w:spacing w:val="0"/>
                <w:w w:val="100"/>
                <w:position w:val="0"/>
                <w:sz w:val="21"/>
                <w:szCs w:val="21"/>
                <w:highlight w:val="none"/>
                <w:lang w:val="en-US" w:eastAsia="zh-CN"/>
              </w:rPr>
              <w:t>短枪。</w:t>
            </w:r>
          </w:p>
        </w:tc>
        <w:tc>
          <w:tcPr>
            <w:tcW w:w="693"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3</w:t>
            </w:r>
          </w:p>
        </w:tc>
        <w:tc>
          <w:tcPr>
            <w:tcW w:w="715"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台</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5" w:hRule="atLeast"/>
          <w:jc w:val="center"/>
        </w:trPr>
        <w:tc>
          <w:tcPr>
            <w:tcW w:w="541"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2</w:t>
            </w:r>
          </w:p>
        </w:tc>
        <w:tc>
          <w:tcPr>
            <w:tcW w:w="1740"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智能弹药柜（本项目核心产品）</w:t>
            </w:r>
          </w:p>
        </w:tc>
        <w:tc>
          <w:tcPr>
            <w:tcW w:w="2600"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12寸</w:t>
            </w:r>
            <w:r>
              <w:rPr>
                <w:rFonts w:hint="eastAsia" w:cs="宋体"/>
                <w:color w:val="000000"/>
                <w:spacing w:val="0"/>
                <w:w w:val="100"/>
                <w:position w:val="0"/>
                <w:sz w:val="21"/>
                <w:szCs w:val="21"/>
                <w:highlight w:val="none"/>
                <w:lang w:val="en-US" w:eastAsia="zh-CN"/>
              </w:rPr>
              <w:t>触摸</w:t>
            </w:r>
            <w:r>
              <w:rPr>
                <w:rFonts w:hint="eastAsia" w:ascii="宋体" w:hAnsi="宋体" w:eastAsia="宋体" w:cs="宋体"/>
                <w:color w:val="000000"/>
                <w:spacing w:val="0"/>
                <w:w w:val="100"/>
                <w:position w:val="0"/>
                <w:sz w:val="21"/>
                <w:szCs w:val="21"/>
                <w:highlight w:val="none"/>
                <w:lang w:val="en-US" w:eastAsia="zh-CN"/>
              </w:rPr>
              <w:t>屏；1800mm*1000mm*500mm；不少于</w:t>
            </w:r>
            <w:r>
              <w:rPr>
                <w:rFonts w:hint="eastAsia" w:cs="宋体"/>
                <w:color w:val="000000"/>
                <w:spacing w:val="0"/>
                <w:w w:val="100"/>
                <w:position w:val="0"/>
                <w:sz w:val="21"/>
                <w:szCs w:val="21"/>
                <w:highlight w:val="none"/>
                <w:lang w:val="en-US" w:eastAsia="zh-CN"/>
              </w:rPr>
              <w:t>4</w:t>
            </w:r>
            <w:r>
              <w:rPr>
                <w:rFonts w:hint="default" w:cs="宋体"/>
                <w:color w:val="000000"/>
                <w:spacing w:val="0"/>
                <w:w w:val="100"/>
                <w:position w:val="0"/>
                <w:sz w:val="21"/>
                <w:szCs w:val="21"/>
                <w:highlight w:val="none"/>
                <w:lang w:eastAsia="zh-CN"/>
              </w:rPr>
              <w:t>个</w:t>
            </w:r>
            <w:r>
              <w:rPr>
                <w:rFonts w:hint="eastAsia" w:ascii="宋体" w:hAnsi="宋体" w:eastAsia="宋体" w:cs="宋体"/>
                <w:color w:val="000000"/>
                <w:spacing w:val="0"/>
                <w:w w:val="100"/>
                <w:position w:val="0"/>
                <w:sz w:val="21"/>
                <w:szCs w:val="21"/>
                <w:highlight w:val="none"/>
                <w:lang w:val="en-US" w:eastAsia="zh-CN"/>
              </w:rPr>
              <w:t>抽屉</w:t>
            </w:r>
            <w:r>
              <w:rPr>
                <w:rFonts w:hint="eastAsia" w:cs="宋体"/>
                <w:color w:val="000000"/>
                <w:spacing w:val="0"/>
                <w:w w:val="100"/>
                <w:position w:val="0"/>
                <w:sz w:val="21"/>
                <w:szCs w:val="21"/>
                <w:highlight w:val="none"/>
                <w:lang w:val="en-US" w:eastAsia="zh-CN"/>
              </w:rPr>
              <w:t>，1层托板</w:t>
            </w:r>
            <w:r>
              <w:rPr>
                <w:rFonts w:hint="eastAsia" w:ascii="宋体" w:hAnsi="宋体" w:eastAsia="宋体" w:cs="宋体"/>
                <w:color w:val="000000"/>
                <w:spacing w:val="0"/>
                <w:w w:val="100"/>
                <w:position w:val="0"/>
                <w:sz w:val="21"/>
                <w:szCs w:val="21"/>
                <w:highlight w:val="none"/>
                <w:lang w:val="en-US" w:eastAsia="zh-CN"/>
              </w:rPr>
              <w:t>。</w:t>
            </w:r>
          </w:p>
        </w:tc>
        <w:tc>
          <w:tcPr>
            <w:tcW w:w="693"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1</w:t>
            </w:r>
          </w:p>
        </w:tc>
        <w:tc>
          <w:tcPr>
            <w:tcW w:w="715"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台</w:t>
            </w:r>
          </w:p>
        </w:tc>
        <w:tc>
          <w:tcPr>
            <w:tcW w:w="2249" w:type="dxa"/>
            <w:vAlign w:val="center"/>
          </w:tcPr>
          <w:p>
            <w:pPr>
              <w:widowControl w:val="0"/>
              <w:shd w:val="clear" w:color="auto" w:fill="auto"/>
              <w:spacing w:before="0" w:after="0" w:line="240" w:lineRule="auto"/>
              <w:ind w:right="0"/>
              <w:jc w:val="both"/>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12" w:hRule="atLeast"/>
          <w:jc w:val="center"/>
        </w:trPr>
        <w:tc>
          <w:tcPr>
            <w:tcW w:w="541" w:type="dxa"/>
            <w:gridSpan w:val="2"/>
            <w:vAlign w:val="center"/>
          </w:tcPr>
          <w:p>
            <w:pPr>
              <w:pStyle w:val="70"/>
              <w:widowControl w:val="0"/>
              <w:shd w:val="clear" w:color="auto" w:fill="auto"/>
              <w:spacing w:before="0" w:after="0" w:line="240" w:lineRule="auto"/>
              <w:ind w:right="0"/>
              <w:jc w:val="center"/>
              <w:rPr>
                <w:rFonts w:hint="default"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3</w:t>
            </w:r>
          </w:p>
        </w:tc>
        <w:tc>
          <w:tcPr>
            <w:tcW w:w="1740" w:type="dxa"/>
            <w:gridSpan w:val="2"/>
            <w:vAlign w:val="center"/>
          </w:tcPr>
          <w:p>
            <w:pPr>
              <w:pStyle w:val="70"/>
              <w:widowControl w:val="0"/>
              <w:shd w:val="clear" w:color="auto" w:fill="auto"/>
              <w:spacing w:before="0" w:after="0" w:line="240" w:lineRule="auto"/>
              <w:ind w:right="0"/>
              <w:jc w:val="center"/>
              <w:rPr>
                <w:rFonts w:hint="eastAsia"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智能长枪柜</w:t>
            </w:r>
          </w:p>
          <w:p>
            <w:pPr>
              <w:pStyle w:val="70"/>
              <w:widowControl w:val="0"/>
              <w:shd w:val="clear" w:color="auto" w:fill="auto"/>
              <w:spacing w:before="0" w:after="0" w:line="240" w:lineRule="auto"/>
              <w:ind w:right="0"/>
              <w:jc w:val="center"/>
              <w:rPr>
                <w:rFonts w:hint="default"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（本项目核心产品）</w:t>
            </w:r>
          </w:p>
        </w:tc>
        <w:tc>
          <w:tcPr>
            <w:tcW w:w="2600"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12寸</w:t>
            </w:r>
            <w:r>
              <w:rPr>
                <w:rFonts w:hint="eastAsia" w:cs="宋体"/>
                <w:color w:val="000000"/>
                <w:spacing w:val="0"/>
                <w:w w:val="100"/>
                <w:position w:val="0"/>
                <w:sz w:val="21"/>
                <w:szCs w:val="21"/>
                <w:highlight w:val="none"/>
                <w:lang w:val="en-US" w:eastAsia="zh-CN"/>
              </w:rPr>
              <w:t>触摸</w:t>
            </w:r>
            <w:r>
              <w:rPr>
                <w:rFonts w:hint="eastAsia" w:ascii="宋体" w:hAnsi="宋体" w:eastAsia="宋体" w:cs="宋体"/>
                <w:color w:val="000000"/>
                <w:spacing w:val="0"/>
                <w:w w:val="100"/>
                <w:position w:val="0"/>
                <w:sz w:val="21"/>
                <w:szCs w:val="21"/>
                <w:highlight w:val="none"/>
                <w:lang w:val="en-US" w:eastAsia="zh-CN"/>
              </w:rPr>
              <w:t>屏；1800mm*1300mm*500mm；不少26</w:t>
            </w:r>
            <w:r>
              <w:rPr>
                <w:rFonts w:hint="eastAsia" w:cs="宋体"/>
                <w:color w:val="000000"/>
                <w:spacing w:val="0"/>
                <w:w w:val="100"/>
                <w:position w:val="0"/>
                <w:sz w:val="21"/>
                <w:szCs w:val="21"/>
                <w:highlight w:val="none"/>
                <w:lang w:val="en-US" w:eastAsia="zh-CN"/>
              </w:rPr>
              <w:t>支长</w:t>
            </w:r>
            <w:r>
              <w:rPr>
                <w:rFonts w:hint="eastAsia" w:ascii="宋体" w:hAnsi="宋体" w:eastAsia="宋体" w:cs="宋体"/>
                <w:color w:val="000000"/>
                <w:spacing w:val="0"/>
                <w:w w:val="100"/>
                <w:position w:val="0"/>
                <w:sz w:val="21"/>
                <w:szCs w:val="21"/>
                <w:highlight w:val="none"/>
                <w:lang w:val="en-US" w:eastAsia="zh-CN"/>
              </w:rPr>
              <w:t>枪。</w:t>
            </w:r>
          </w:p>
        </w:tc>
        <w:tc>
          <w:tcPr>
            <w:tcW w:w="693" w:type="dxa"/>
            <w:vAlign w:val="center"/>
          </w:tcPr>
          <w:p>
            <w:pPr>
              <w:pStyle w:val="70"/>
              <w:widowControl w:val="0"/>
              <w:shd w:val="clear" w:color="auto" w:fill="auto"/>
              <w:spacing w:before="0" w:after="0" w:line="240" w:lineRule="auto"/>
              <w:ind w:right="0"/>
              <w:jc w:val="center"/>
              <w:rPr>
                <w:rFonts w:hint="default"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1</w:t>
            </w:r>
          </w:p>
        </w:tc>
        <w:tc>
          <w:tcPr>
            <w:tcW w:w="715"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台</w:t>
            </w:r>
          </w:p>
        </w:tc>
        <w:tc>
          <w:tcPr>
            <w:tcW w:w="2249" w:type="dxa"/>
            <w:vAlign w:val="center"/>
          </w:tcPr>
          <w:p>
            <w:pPr>
              <w:widowControl w:val="0"/>
              <w:shd w:val="clear" w:color="auto" w:fill="auto"/>
              <w:spacing w:before="0" w:after="0" w:line="240" w:lineRule="auto"/>
              <w:ind w:right="0"/>
              <w:jc w:val="both"/>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5" w:hRule="atLeast"/>
          <w:jc w:val="center"/>
        </w:trPr>
        <w:tc>
          <w:tcPr>
            <w:tcW w:w="541" w:type="dxa"/>
            <w:gridSpan w:val="2"/>
            <w:vAlign w:val="center"/>
          </w:tcPr>
          <w:p>
            <w:pPr>
              <w:pStyle w:val="70"/>
              <w:widowControl w:val="0"/>
              <w:shd w:val="clear" w:color="auto" w:fill="auto"/>
              <w:spacing w:before="0" w:after="0" w:line="240" w:lineRule="auto"/>
              <w:ind w:right="0"/>
              <w:jc w:val="center"/>
              <w:rPr>
                <w:rFonts w:hint="default"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4</w:t>
            </w:r>
          </w:p>
        </w:tc>
        <w:tc>
          <w:tcPr>
            <w:tcW w:w="1740" w:type="dxa"/>
            <w:gridSpan w:val="2"/>
            <w:vAlign w:val="center"/>
          </w:tcPr>
          <w:p>
            <w:pPr>
              <w:pStyle w:val="70"/>
              <w:widowControl w:val="0"/>
              <w:shd w:val="clear" w:color="auto" w:fill="auto"/>
              <w:spacing w:before="0" w:after="0" w:line="240" w:lineRule="auto"/>
              <w:ind w:right="0"/>
              <w:jc w:val="center"/>
              <w:rPr>
                <w:rFonts w:hint="eastAsia"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智能综合柜</w:t>
            </w:r>
          </w:p>
          <w:p>
            <w:pPr>
              <w:pStyle w:val="70"/>
              <w:widowControl w:val="0"/>
              <w:shd w:val="clear" w:color="auto" w:fill="auto"/>
              <w:spacing w:before="0" w:after="0" w:line="240" w:lineRule="auto"/>
              <w:ind w:right="0"/>
              <w:jc w:val="center"/>
              <w:rPr>
                <w:rFonts w:hint="default"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（本项目核心产品）</w:t>
            </w:r>
          </w:p>
        </w:tc>
        <w:tc>
          <w:tcPr>
            <w:tcW w:w="2600"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12寸</w:t>
            </w:r>
            <w:r>
              <w:rPr>
                <w:rFonts w:hint="eastAsia" w:cs="宋体"/>
                <w:color w:val="000000"/>
                <w:spacing w:val="0"/>
                <w:w w:val="100"/>
                <w:position w:val="0"/>
                <w:sz w:val="21"/>
                <w:szCs w:val="21"/>
                <w:highlight w:val="none"/>
                <w:lang w:val="en-US" w:eastAsia="zh-CN"/>
              </w:rPr>
              <w:t>触摸</w:t>
            </w:r>
            <w:r>
              <w:rPr>
                <w:rFonts w:hint="eastAsia" w:ascii="宋体" w:hAnsi="宋体" w:eastAsia="宋体" w:cs="宋体"/>
                <w:color w:val="000000"/>
                <w:spacing w:val="0"/>
                <w:w w:val="100"/>
                <w:position w:val="0"/>
                <w:sz w:val="21"/>
                <w:szCs w:val="21"/>
                <w:highlight w:val="none"/>
                <w:lang w:val="en-US" w:eastAsia="zh-CN"/>
              </w:rPr>
              <w:t>屏；1800mm*1</w:t>
            </w:r>
            <w:r>
              <w:rPr>
                <w:rFonts w:hint="eastAsia" w:cs="宋体"/>
                <w:color w:val="000000"/>
                <w:spacing w:val="0"/>
                <w:w w:val="100"/>
                <w:position w:val="0"/>
                <w:sz w:val="21"/>
                <w:szCs w:val="21"/>
                <w:highlight w:val="none"/>
                <w:lang w:val="en-US" w:eastAsia="zh-CN"/>
              </w:rPr>
              <w:t>0</w:t>
            </w:r>
            <w:r>
              <w:rPr>
                <w:rFonts w:hint="eastAsia" w:ascii="宋体" w:hAnsi="宋体" w:eastAsia="宋体" w:cs="宋体"/>
                <w:color w:val="000000"/>
                <w:spacing w:val="0"/>
                <w:w w:val="100"/>
                <w:position w:val="0"/>
                <w:sz w:val="21"/>
                <w:szCs w:val="21"/>
                <w:highlight w:val="none"/>
                <w:lang w:val="en-US" w:eastAsia="zh-CN"/>
              </w:rPr>
              <w:t>00mm*500mm；不少于12</w:t>
            </w:r>
            <w:r>
              <w:rPr>
                <w:rFonts w:hint="eastAsia" w:cs="宋体"/>
                <w:color w:val="000000"/>
                <w:spacing w:val="0"/>
                <w:w w:val="100"/>
                <w:position w:val="0"/>
                <w:sz w:val="21"/>
                <w:szCs w:val="21"/>
                <w:highlight w:val="none"/>
                <w:lang w:val="en-US" w:eastAsia="zh-CN"/>
              </w:rPr>
              <w:t>支</w:t>
            </w:r>
            <w:r>
              <w:rPr>
                <w:rFonts w:hint="eastAsia" w:ascii="宋体" w:hAnsi="宋体" w:eastAsia="宋体" w:cs="宋体"/>
                <w:color w:val="000000"/>
                <w:spacing w:val="0"/>
                <w:w w:val="100"/>
                <w:position w:val="0"/>
                <w:sz w:val="21"/>
                <w:szCs w:val="21"/>
                <w:highlight w:val="none"/>
                <w:lang w:val="en-US" w:eastAsia="zh-CN"/>
              </w:rPr>
              <w:t>短枪，4支长枪，4个计数抽屉。</w:t>
            </w:r>
          </w:p>
        </w:tc>
        <w:tc>
          <w:tcPr>
            <w:tcW w:w="693" w:type="dxa"/>
            <w:vAlign w:val="center"/>
          </w:tcPr>
          <w:p>
            <w:pPr>
              <w:pStyle w:val="70"/>
              <w:widowControl w:val="0"/>
              <w:shd w:val="clear" w:color="auto" w:fill="auto"/>
              <w:spacing w:before="0" w:after="0" w:line="240" w:lineRule="auto"/>
              <w:ind w:right="0"/>
              <w:jc w:val="center"/>
              <w:rPr>
                <w:rFonts w:hint="default"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1</w:t>
            </w:r>
          </w:p>
        </w:tc>
        <w:tc>
          <w:tcPr>
            <w:tcW w:w="715"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台</w:t>
            </w:r>
          </w:p>
        </w:tc>
        <w:tc>
          <w:tcPr>
            <w:tcW w:w="2249" w:type="dxa"/>
            <w:vAlign w:val="center"/>
          </w:tcPr>
          <w:p>
            <w:pPr>
              <w:widowControl w:val="0"/>
              <w:shd w:val="clear" w:color="auto" w:fill="auto"/>
              <w:spacing w:before="0" w:after="0" w:line="240" w:lineRule="auto"/>
              <w:ind w:right="0"/>
              <w:jc w:val="both"/>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2" w:hRule="atLeast"/>
          <w:jc w:val="center"/>
        </w:trPr>
        <w:tc>
          <w:tcPr>
            <w:tcW w:w="8538" w:type="dxa"/>
            <w:gridSpan w:val="8"/>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（二）枪弹库一体化管理平台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2" w:hRule="atLeast"/>
          <w:jc w:val="center"/>
        </w:trPr>
        <w:tc>
          <w:tcPr>
            <w:tcW w:w="474"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1</w:t>
            </w:r>
          </w:p>
        </w:tc>
        <w:tc>
          <w:tcPr>
            <w:tcW w:w="1442"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b w:val="0"/>
                <w:bCs w:val="0"/>
                <w:color w:val="000000"/>
                <w:kern w:val="0"/>
                <w:sz w:val="21"/>
                <w:szCs w:val="21"/>
                <w:highlight w:val="none"/>
              </w:rPr>
              <w:t>智能枪弹柜管理系统（含平台软件）</w:t>
            </w:r>
          </w:p>
        </w:tc>
        <w:tc>
          <w:tcPr>
            <w:tcW w:w="2965" w:type="dxa"/>
            <w:gridSpan w:val="2"/>
            <w:vAlign w:val="center"/>
          </w:tcPr>
          <w:p>
            <w:pPr>
              <w:widowControl w:val="0"/>
              <w:shd w:val="clear" w:color="auto" w:fill="auto"/>
              <w:spacing w:before="0" w:after="0" w:line="240" w:lineRule="auto"/>
              <w:ind w:left="0" w:leftChars="0" w:right="0" w:firstLine="210" w:firstLineChars="10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lang w:val="en-US" w:eastAsia="zh-CN" w:bidi="ar-SA"/>
              </w:rPr>
              <w:t>/</w:t>
            </w:r>
          </w:p>
        </w:tc>
        <w:tc>
          <w:tcPr>
            <w:tcW w:w="693" w:type="dxa"/>
            <w:vAlign w:val="center"/>
          </w:tcPr>
          <w:p>
            <w:pPr>
              <w:widowControl w:val="0"/>
              <w:shd w:val="clear" w:color="auto" w:fill="auto"/>
              <w:spacing w:before="0" w:after="0" w:line="240" w:lineRule="auto"/>
              <w:ind w:left="0" w:leftChars="0" w:right="0" w:firstLine="210" w:firstLineChars="100"/>
              <w:jc w:val="both"/>
              <w:rPr>
                <w:rFonts w:hint="default"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lang w:val="en-US" w:eastAsia="zh-CN" w:bidi="ar-SA"/>
              </w:rPr>
              <w:t>1</w:t>
            </w:r>
          </w:p>
        </w:tc>
        <w:tc>
          <w:tcPr>
            <w:tcW w:w="715" w:type="dxa"/>
            <w:vAlign w:val="center"/>
          </w:tcPr>
          <w:p>
            <w:pPr>
              <w:pStyle w:val="70"/>
              <w:widowControl w:val="0"/>
              <w:shd w:val="clear" w:color="auto" w:fill="auto"/>
              <w:spacing w:before="0" w:after="0" w:line="240" w:lineRule="auto"/>
              <w:ind w:left="0" w:leftChars="0" w:right="0" w:firstLine="210" w:firstLineChars="10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sz w:val="21"/>
                <w:szCs w:val="21"/>
                <w:highlight w:val="none"/>
              </w:rPr>
              <w:t>套</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474"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2</w:t>
            </w:r>
          </w:p>
        </w:tc>
        <w:tc>
          <w:tcPr>
            <w:tcW w:w="1442" w:type="dxa"/>
            <w:gridSpan w:val="2"/>
            <w:vAlign w:val="center"/>
          </w:tcPr>
          <w:p>
            <w:pPr>
              <w:wordWrap/>
              <w:snapToGrid/>
              <w:spacing w:line="340" w:lineRule="exact"/>
              <w:jc w:val="center"/>
              <w:textAlignment w:val="auto"/>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sz w:val="21"/>
                <w:szCs w:val="21"/>
                <w:highlight w:val="none"/>
              </w:rPr>
              <w:t>服务器</w:t>
            </w:r>
          </w:p>
        </w:tc>
        <w:tc>
          <w:tcPr>
            <w:tcW w:w="2965" w:type="dxa"/>
            <w:gridSpan w:val="2"/>
            <w:vAlign w:val="center"/>
          </w:tcPr>
          <w:p>
            <w:pPr>
              <w:widowControl w:val="0"/>
              <w:shd w:val="clear" w:color="auto" w:fill="auto"/>
              <w:spacing w:before="0" w:after="0" w:line="240" w:lineRule="auto"/>
              <w:ind w:left="0" w:leftChars="0" w:right="0" w:firstLine="210" w:firstLineChars="10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bCs/>
                <w:sz w:val="21"/>
                <w:szCs w:val="21"/>
                <w:highlight w:val="none"/>
                <w:lang w:val="en-US" w:eastAsia="zh-CN"/>
              </w:rPr>
              <w:t>单路入门级塔式服务器</w:t>
            </w:r>
          </w:p>
        </w:tc>
        <w:tc>
          <w:tcPr>
            <w:tcW w:w="693" w:type="dxa"/>
            <w:vAlign w:val="center"/>
          </w:tcPr>
          <w:p>
            <w:pPr>
              <w:widowControl w:val="0"/>
              <w:shd w:val="clear" w:color="auto" w:fill="auto"/>
              <w:spacing w:before="0" w:after="0" w:line="240" w:lineRule="auto"/>
              <w:ind w:left="0" w:leftChars="0" w:right="0" w:firstLine="210" w:firstLineChars="100"/>
              <w:jc w:val="both"/>
              <w:rPr>
                <w:rFonts w:hint="default"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lang w:val="en-US" w:eastAsia="zh-CN" w:bidi="ar-SA"/>
              </w:rPr>
              <w:t>1</w:t>
            </w:r>
          </w:p>
        </w:tc>
        <w:tc>
          <w:tcPr>
            <w:tcW w:w="715" w:type="dxa"/>
            <w:vAlign w:val="center"/>
          </w:tcPr>
          <w:p>
            <w:pPr>
              <w:pStyle w:val="70"/>
              <w:widowControl w:val="0"/>
              <w:shd w:val="clear" w:color="auto" w:fill="auto"/>
              <w:spacing w:before="0" w:after="0" w:line="240" w:lineRule="auto"/>
              <w:ind w:left="0" w:leftChars="0" w:right="0" w:firstLine="210" w:firstLineChars="10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台</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2" w:hRule="atLeast"/>
          <w:jc w:val="center"/>
        </w:trPr>
        <w:tc>
          <w:tcPr>
            <w:tcW w:w="474"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3</w:t>
            </w:r>
          </w:p>
        </w:tc>
        <w:tc>
          <w:tcPr>
            <w:tcW w:w="1442" w:type="dxa"/>
            <w:gridSpan w:val="2"/>
            <w:vAlign w:val="center"/>
          </w:tcPr>
          <w:p>
            <w:pPr>
              <w:widowControl/>
              <w:wordWrap/>
              <w:adjustRightInd/>
              <w:snapToGrid/>
              <w:spacing w:line="400" w:lineRule="exact"/>
              <w:jc w:val="center"/>
              <w:textAlignment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显示屏</w:t>
            </w:r>
          </w:p>
        </w:tc>
        <w:tc>
          <w:tcPr>
            <w:tcW w:w="2965" w:type="dxa"/>
            <w:gridSpan w:val="2"/>
            <w:vAlign w:val="center"/>
          </w:tcPr>
          <w:p>
            <w:pPr>
              <w:widowControl w:val="0"/>
              <w:shd w:val="clear" w:color="auto" w:fill="auto"/>
              <w:spacing w:before="0" w:after="0" w:line="240" w:lineRule="auto"/>
              <w:ind w:left="0" w:leftChars="0" w:right="0" w:firstLine="210" w:firstLineChars="10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3.8</w:t>
            </w:r>
            <w:r>
              <w:rPr>
                <w:rFonts w:hint="eastAsia" w:ascii="宋体" w:hAnsi="宋体" w:eastAsia="宋体" w:cs="宋体"/>
                <w:sz w:val="21"/>
                <w:szCs w:val="21"/>
                <w:highlight w:val="none"/>
              </w:rPr>
              <w:t>英寸</w:t>
            </w:r>
          </w:p>
        </w:tc>
        <w:tc>
          <w:tcPr>
            <w:tcW w:w="693" w:type="dxa"/>
            <w:vAlign w:val="center"/>
          </w:tcPr>
          <w:p>
            <w:pPr>
              <w:widowControl w:val="0"/>
              <w:shd w:val="clear" w:color="auto" w:fill="auto"/>
              <w:spacing w:before="0" w:after="0" w:line="240" w:lineRule="auto"/>
              <w:ind w:left="0" w:leftChars="0" w:right="0" w:firstLine="210" w:firstLineChars="100"/>
              <w:jc w:val="both"/>
              <w:rPr>
                <w:rFonts w:hint="default"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lang w:val="en-US" w:eastAsia="zh-CN" w:bidi="ar-SA"/>
              </w:rPr>
              <w:t>1</w:t>
            </w:r>
          </w:p>
        </w:tc>
        <w:tc>
          <w:tcPr>
            <w:tcW w:w="715" w:type="dxa"/>
            <w:vAlign w:val="center"/>
          </w:tcPr>
          <w:p>
            <w:pPr>
              <w:pStyle w:val="70"/>
              <w:widowControl w:val="0"/>
              <w:shd w:val="clear" w:color="auto" w:fill="auto"/>
              <w:spacing w:before="0" w:after="0" w:line="240" w:lineRule="auto"/>
              <w:ind w:left="0" w:leftChars="0" w:right="0" w:firstLine="210" w:firstLineChars="10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台</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6" w:hRule="atLeast"/>
          <w:jc w:val="center"/>
        </w:trPr>
        <w:tc>
          <w:tcPr>
            <w:tcW w:w="8538" w:type="dxa"/>
            <w:gridSpan w:val="8"/>
            <w:vAlign w:val="center"/>
          </w:tcPr>
          <w:p>
            <w:pPr>
              <w:pStyle w:val="70"/>
              <w:widowControl w:val="0"/>
              <w:shd w:val="clear" w:color="auto" w:fill="auto"/>
              <w:spacing w:before="0" w:after="0" w:line="240" w:lineRule="auto"/>
              <w:ind w:left="0" w:leftChars="0" w:right="0" w:firstLine="210" w:firstLineChars="10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（三）智能门禁系统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0" w:hRule="atLeast"/>
          <w:jc w:val="center"/>
        </w:trPr>
        <w:tc>
          <w:tcPr>
            <w:tcW w:w="474"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1</w:t>
            </w:r>
          </w:p>
        </w:tc>
        <w:tc>
          <w:tcPr>
            <w:tcW w:w="1442"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智能库门</w:t>
            </w:r>
          </w:p>
        </w:tc>
        <w:tc>
          <w:tcPr>
            <w:tcW w:w="2965"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8寸触摸屏</w:t>
            </w:r>
          </w:p>
        </w:tc>
        <w:tc>
          <w:tcPr>
            <w:tcW w:w="693"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2</w:t>
            </w:r>
          </w:p>
        </w:tc>
        <w:tc>
          <w:tcPr>
            <w:tcW w:w="715"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樘</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3" w:hRule="atLeast"/>
          <w:jc w:val="center"/>
        </w:trPr>
        <w:tc>
          <w:tcPr>
            <w:tcW w:w="8538" w:type="dxa"/>
            <w:gridSpan w:val="8"/>
            <w:vAlign w:val="center"/>
          </w:tcPr>
          <w:p>
            <w:pPr>
              <w:pStyle w:val="70"/>
              <w:widowControl w:val="0"/>
              <w:shd w:val="clear" w:color="auto" w:fill="auto"/>
              <w:spacing w:before="0" w:after="0" w:line="240" w:lineRule="auto"/>
              <w:ind w:left="0" w:leftChars="0" w:right="0" w:firstLine="210" w:firstLineChars="10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（四）视频监控系统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0" w:hRule="atLeast"/>
          <w:jc w:val="center"/>
        </w:trPr>
        <w:tc>
          <w:tcPr>
            <w:tcW w:w="474"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1</w:t>
            </w:r>
          </w:p>
        </w:tc>
        <w:tc>
          <w:tcPr>
            <w:tcW w:w="1442"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b w:val="0"/>
                <w:bCs w:val="0"/>
                <w:sz w:val="21"/>
                <w:szCs w:val="21"/>
                <w:highlight w:val="none"/>
                <w:lang w:val="en-US" w:eastAsia="zh-CN"/>
              </w:rPr>
              <w:t>筒式网络摄像机</w:t>
            </w:r>
          </w:p>
        </w:tc>
        <w:tc>
          <w:tcPr>
            <w:tcW w:w="2965" w:type="dxa"/>
            <w:gridSpan w:val="2"/>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200万像素</w:t>
            </w:r>
          </w:p>
        </w:tc>
        <w:tc>
          <w:tcPr>
            <w:tcW w:w="693"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4</w:t>
            </w:r>
          </w:p>
        </w:tc>
        <w:tc>
          <w:tcPr>
            <w:tcW w:w="715" w:type="dxa"/>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台</w:t>
            </w:r>
          </w:p>
        </w:tc>
        <w:tc>
          <w:tcPr>
            <w:tcW w:w="2249" w:type="dxa"/>
            <w:vAlign w:val="center"/>
          </w:tcPr>
          <w:p>
            <w:pPr>
              <w:pStyle w:val="70"/>
              <w:widowControl w:val="0"/>
              <w:shd w:val="clear" w:color="auto" w:fill="auto"/>
              <w:spacing w:before="0" w:after="0" w:line="240" w:lineRule="auto"/>
              <w:ind w:right="0"/>
              <w:jc w:val="both"/>
              <w:rPr>
                <w:rFonts w:hint="eastAsia" w:ascii="宋体" w:hAnsi="宋体" w:eastAsia="宋体" w:cs="宋体"/>
                <w:color w:val="FF0000"/>
                <w:spacing w:val="0"/>
                <w:w w:val="100"/>
                <w:kern w:val="2"/>
                <w:position w:val="0"/>
                <w:sz w:val="21"/>
                <w:szCs w:val="21"/>
                <w:highlight w:val="none"/>
                <w:u w:val="none"/>
                <w:shd w:val="clear" w:color="auto" w:fill="auto"/>
                <w:lang w:val="en-US" w:eastAsia="zh-CN" w:bidi="zh-TW"/>
              </w:rPr>
            </w:pPr>
          </w:p>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94" w:hRule="atLeast"/>
          <w:jc w:val="center"/>
        </w:trPr>
        <w:tc>
          <w:tcPr>
            <w:tcW w:w="474"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2</w:t>
            </w:r>
          </w:p>
        </w:tc>
        <w:tc>
          <w:tcPr>
            <w:tcW w:w="1442" w:type="dxa"/>
            <w:gridSpan w:val="2"/>
            <w:vAlign w:val="center"/>
          </w:tcPr>
          <w:p>
            <w:pPr>
              <w:widowControl/>
              <w:wordWrap/>
              <w:adjustRightInd/>
              <w:snapToGrid/>
              <w:spacing w:line="400" w:lineRule="exact"/>
              <w:jc w:val="center"/>
              <w:textAlignment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POE交换机</w:t>
            </w:r>
          </w:p>
        </w:tc>
        <w:tc>
          <w:tcPr>
            <w:tcW w:w="2965" w:type="dxa"/>
            <w:gridSpan w:val="2"/>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cs="宋体"/>
                <w:sz w:val="21"/>
                <w:szCs w:val="21"/>
                <w:highlight w:val="none"/>
                <w:lang w:val="en-US" w:eastAsia="zh-CN"/>
              </w:rPr>
              <w:t>26</w:t>
            </w:r>
            <w:r>
              <w:rPr>
                <w:rFonts w:hint="eastAsia" w:ascii="宋体" w:hAnsi="宋体" w:eastAsia="宋体" w:cs="宋体"/>
                <w:sz w:val="21"/>
                <w:szCs w:val="21"/>
                <w:highlight w:val="none"/>
              </w:rPr>
              <w:t>口千兆交换机</w:t>
            </w:r>
          </w:p>
        </w:tc>
        <w:tc>
          <w:tcPr>
            <w:tcW w:w="693" w:type="dxa"/>
            <w:vAlign w:val="center"/>
          </w:tcPr>
          <w:p>
            <w:pPr>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lang w:val="en-US" w:eastAsia="zh-CN" w:bidi="ar-SA"/>
              </w:rPr>
              <w:t>1</w:t>
            </w:r>
          </w:p>
        </w:tc>
        <w:tc>
          <w:tcPr>
            <w:tcW w:w="715" w:type="dxa"/>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台</w:t>
            </w:r>
          </w:p>
        </w:tc>
        <w:tc>
          <w:tcPr>
            <w:tcW w:w="2249" w:type="dxa"/>
            <w:vAlign w:val="center"/>
          </w:tcPr>
          <w:p>
            <w:pPr>
              <w:pStyle w:val="70"/>
              <w:widowControl w:val="0"/>
              <w:shd w:val="clear" w:color="auto" w:fill="auto"/>
              <w:spacing w:before="0" w:after="0" w:line="240" w:lineRule="auto"/>
              <w:ind w:right="0"/>
              <w:jc w:val="both"/>
              <w:rPr>
                <w:rFonts w:hint="eastAsia" w:ascii="宋体" w:hAnsi="宋体" w:eastAsia="宋体" w:cs="宋体"/>
                <w:color w:val="FF0000"/>
                <w:spacing w:val="0"/>
                <w:w w:val="100"/>
                <w:kern w:val="2"/>
                <w:position w:val="0"/>
                <w:sz w:val="21"/>
                <w:szCs w:val="21"/>
                <w:highlight w:val="none"/>
                <w:u w:val="none"/>
                <w:shd w:val="clear" w:color="auto" w:fill="auto"/>
                <w:lang w:val="en-US" w:eastAsia="zh-CN" w:bidi="zh-TW"/>
              </w:rPr>
            </w:pPr>
          </w:p>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7" w:hRule="atLeast"/>
          <w:jc w:val="center"/>
        </w:trPr>
        <w:tc>
          <w:tcPr>
            <w:tcW w:w="474"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3</w:t>
            </w:r>
          </w:p>
        </w:tc>
        <w:tc>
          <w:tcPr>
            <w:tcW w:w="1442" w:type="dxa"/>
            <w:gridSpan w:val="2"/>
            <w:vAlign w:val="center"/>
          </w:tcPr>
          <w:p>
            <w:pPr>
              <w:widowControl/>
              <w:wordWrap/>
              <w:adjustRightInd/>
              <w:snapToGrid/>
              <w:spacing w:line="400" w:lineRule="exact"/>
              <w:jc w:val="center"/>
              <w:textAlignment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硬盘</w:t>
            </w:r>
          </w:p>
        </w:tc>
        <w:tc>
          <w:tcPr>
            <w:tcW w:w="2965" w:type="dxa"/>
            <w:gridSpan w:val="2"/>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T</w:t>
            </w:r>
          </w:p>
        </w:tc>
        <w:tc>
          <w:tcPr>
            <w:tcW w:w="693" w:type="dxa"/>
            <w:vAlign w:val="center"/>
          </w:tcPr>
          <w:p>
            <w:pPr>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lang w:val="en-US" w:eastAsia="zh-CN" w:bidi="ar-SA"/>
              </w:rPr>
              <w:t>1</w:t>
            </w:r>
          </w:p>
        </w:tc>
        <w:tc>
          <w:tcPr>
            <w:tcW w:w="715" w:type="dxa"/>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个</w:t>
            </w:r>
          </w:p>
        </w:tc>
        <w:tc>
          <w:tcPr>
            <w:tcW w:w="2249" w:type="dxa"/>
            <w:vAlign w:val="center"/>
          </w:tcPr>
          <w:p>
            <w:pPr>
              <w:pStyle w:val="70"/>
              <w:widowControl w:val="0"/>
              <w:shd w:val="clear" w:color="auto" w:fill="auto"/>
              <w:spacing w:before="0" w:after="0" w:line="240" w:lineRule="auto"/>
              <w:ind w:right="0"/>
              <w:jc w:val="both"/>
              <w:rPr>
                <w:rFonts w:hint="eastAsia" w:ascii="宋体" w:hAnsi="宋体" w:eastAsia="宋体" w:cs="宋体"/>
                <w:color w:val="FF0000"/>
                <w:spacing w:val="0"/>
                <w:w w:val="100"/>
                <w:kern w:val="2"/>
                <w:position w:val="0"/>
                <w:sz w:val="21"/>
                <w:szCs w:val="21"/>
                <w:highlight w:val="none"/>
                <w:u w:val="none"/>
                <w:shd w:val="clear" w:color="auto" w:fill="auto"/>
                <w:lang w:val="en-US" w:eastAsia="zh-CN" w:bidi="zh-TW"/>
              </w:rPr>
            </w:pPr>
          </w:p>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3" w:hRule="atLeast"/>
          <w:jc w:val="center"/>
        </w:trPr>
        <w:tc>
          <w:tcPr>
            <w:tcW w:w="474"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4</w:t>
            </w:r>
          </w:p>
        </w:tc>
        <w:tc>
          <w:tcPr>
            <w:tcW w:w="1442" w:type="dxa"/>
            <w:gridSpan w:val="2"/>
            <w:vAlign w:val="center"/>
          </w:tcPr>
          <w:p>
            <w:pPr>
              <w:widowControl/>
              <w:wordWrap/>
              <w:adjustRightInd/>
              <w:snapToGrid/>
              <w:spacing w:line="400" w:lineRule="exact"/>
              <w:jc w:val="center"/>
              <w:textAlignment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网络硬盘录像机</w:t>
            </w:r>
          </w:p>
        </w:tc>
        <w:tc>
          <w:tcPr>
            <w:tcW w:w="2965" w:type="dxa"/>
            <w:gridSpan w:val="2"/>
            <w:vAlign w:val="center"/>
          </w:tcPr>
          <w:p>
            <w:pPr>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16路</w:t>
            </w:r>
          </w:p>
        </w:tc>
        <w:tc>
          <w:tcPr>
            <w:tcW w:w="693"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1</w:t>
            </w:r>
          </w:p>
        </w:tc>
        <w:tc>
          <w:tcPr>
            <w:tcW w:w="715"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台</w:t>
            </w:r>
          </w:p>
        </w:tc>
        <w:tc>
          <w:tcPr>
            <w:tcW w:w="2249" w:type="dxa"/>
            <w:vAlign w:val="center"/>
          </w:tcPr>
          <w:p>
            <w:pPr>
              <w:pStyle w:val="70"/>
              <w:widowControl w:val="0"/>
              <w:shd w:val="clear" w:color="auto" w:fill="auto"/>
              <w:spacing w:before="0" w:after="0" w:line="240" w:lineRule="auto"/>
              <w:ind w:right="0"/>
              <w:jc w:val="both"/>
              <w:rPr>
                <w:rFonts w:hint="eastAsia" w:ascii="宋体" w:hAnsi="宋体" w:eastAsia="宋体" w:cs="宋体"/>
                <w:color w:val="FF0000"/>
                <w:spacing w:val="0"/>
                <w:w w:val="100"/>
                <w:kern w:val="2"/>
                <w:position w:val="0"/>
                <w:sz w:val="21"/>
                <w:szCs w:val="21"/>
                <w:highlight w:val="none"/>
                <w:u w:val="none"/>
                <w:shd w:val="clear" w:color="auto" w:fill="auto"/>
                <w:lang w:val="en-US" w:eastAsia="zh-CN" w:bidi="zh-TW"/>
              </w:rPr>
            </w:pPr>
          </w:p>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3" w:hRule="atLeast"/>
          <w:jc w:val="center"/>
        </w:trPr>
        <w:tc>
          <w:tcPr>
            <w:tcW w:w="8538" w:type="dxa"/>
            <w:gridSpan w:val="8"/>
            <w:vAlign w:val="center"/>
          </w:tcPr>
          <w:p>
            <w:pPr>
              <w:pStyle w:val="70"/>
              <w:widowControl w:val="0"/>
              <w:shd w:val="clear" w:color="auto" w:fill="auto"/>
              <w:spacing w:before="0" w:after="0" w:line="240" w:lineRule="auto"/>
              <w:ind w:left="0" w:leftChars="0" w:right="0" w:firstLine="210" w:firstLineChars="10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（五）安防报警系统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2" w:hRule="atLeast"/>
          <w:jc w:val="center"/>
        </w:trPr>
        <w:tc>
          <w:tcPr>
            <w:tcW w:w="474"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1</w:t>
            </w:r>
          </w:p>
        </w:tc>
        <w:tc>
          <w:tcPr>
            <w:tcW w:w="1442" w:type="dxa"/>
            <w:gridSpan w:val="2"/>
            <w:vAlign w:val="center"/>
          </w:tcPr>
          <w:p>
            <w:pPr>
              <w:pStyle w:val="70"/>
              <w:widowControl w:val="0"/>
              <w:shd w:val="clear" w:color="auto" w:fill="auto"/>
              <w:spacing w:before="0" w:after="0" w:line="240" w:lineRule="auto"/>
              <w:ind w:left="0" w:leftChars="0" w:right="0" w:firstLine="210" w:firstLineChars="100"/>
              <w:jc w:val="left"/>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报警主机</w:t>
            </w:r>
          </w:p>
        </w:tc>
        <w:tc>
          <w:tcPr>
            <w:tcW w:w="2965" w:type="dxa"/>
            <w:gridSpan w:val="2"/>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路</w:t>
            </w:r>
          </w:p>
        </w:tc>
        <w:tc>
          <w:tcPr>
            <w:tcW w:w="693"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1</w:t>
            </w:r>
          </w:p>
        </w:tc>
        <w:tc>
          <w:tcPr>
            <w:tcW w:w="715"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台</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4" w:hRule="atLeast"/>
          <w:jc w:val="center"/>
        </w:trPr>
        <w:tc>
          <w:tcPr>
            <w:tcW w:w="474"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2</w:t>
            </w:r>
          </w:p>
        </w:tc>
        <w:tc>
          <w:tcPr>
            <w:tcW w:w="1442"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红外微波三鉴探测器</w:t>
            </w:r>
          </w:p>
        </w:tc>
        <w:tc>
          <w:tcPr>
            <w:tcW w:w="2965" w:type="dxa"/>
            <w:gridSpan w:val="2"/>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探测范围11m×11m</w:t>
            </w:r>
          </w:p>
        </w:tc>
        <w:tc>
          <w:tcPr>
            <w:tcW w:w="693"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2</w:t>
            </w:r>
          </w:p>
        </w:tc>
        <w:tc>
          <w:tcPr>
            <w:tcW w:w="715"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个</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3" w:hRule="atLeast"/>
          <w:jc w:val="center"/>
        </w:trPr>
        <w:tc>
          <w:tcPr>
            <w:tcW w:w="474"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3</w:t>
            </w:r>
          </w:p>
        </w:tc>
        <w:tc>
          <w:tcPr>
            <w:tcW w:w="1442"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震动探测器</w:t>
            </w:r>
          </w:p>
        </w:tc>
        <w:tc>
          <w:tcPr>
            <w:tcW w:w="2965" w:type="dxa"/>
            <w:gridSpan w:val="2"/>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sz w:val="21"/>
                <w:szCs w:val="21"/>
                <w:highlight w:val="none"/>
              </w:rPr>
              <w:t>声波感应</w:t>
            </w:r>
          </w:p>
        </w:tc>
        <w:tc>
          <w:tcPr>
            <w:tcW w:w="693" w:type="dxa"/>
            <w:vAlign w:val="center"/>
          </w:tcPr>
          <w:p>
            <w:pPr>
              <w:pStyle w:val="70"/>
              <w:widowControl w:val="0"/>
              <w:shd w:val="clear" w:color="auto" w:fill="auto"/>
              <w:spacing w:before="0" w:after="0" w:line="240" w:lineRule="auto"/>
              <w:ind w:left="0" w:leftChars="0" w:right="0" w:firstLine="210" w:firstLineChars="100"/>
              <w:jc w:val="both"/>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2</w:t>
            </w:r>
          </w:p>
        </w:tc>
        <w:tc>
          <w:tcPr>
            <w:tcW w:w="715"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个</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4" w:hRule="atLeast"/>
          <w:jc w:val="center"/>
        </w:trPr>
        <w:tc>
          <w:tcPr>
            <w:tcW w:w="474"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4</w:t>
            </w:r>
          </w:p>
        </w:tc>
        <w:tc>
          <w:tcPr>
            <w:tcW w:w="1442"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烟雾探测器</w:t>
            </w:r>
          </w:p>
        </w:tc>
        <w:tc>
          <w:tcPr>
            <w:tcW w:w="2965" w:type="dxa"/>
            <w:gridSpan w:val="2"/>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sz w:val="21"/>
                <w:szCs w:val="21"/>
                <w:highlight w:val="none"/>
              </w:rPr>
              <w:t>符合UL217号标准报警指示</w:t>
            </w:r>
          </w:p>
        </w:tc>
        <w:tc>
          <w:tcPr>
            <w:tcW w:w="693"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2</w:t>
            </w:r>
          </w:p>
        </w:tc>
        <w:tc>
          <w:tcPr>
            <w:tcW w:w="715"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个</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8" w:hRule="atLeast"/>
          <w:jc w:val="center"/>
        </w:trPr>
        <w:tc>
          <w:tcPr>
            <w:tcW w:w="474"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5</w:t>
            </w:r>
          </w:p>
        </w:tc>
        <w:tc>
          <w:tcPr>
            <w:tcW w:w="1442"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声光报警器</w:t>
            </w:r>
          </w:p>
        </w:tc>
        <w:tc>
          <w:tcPr>
            <w:tcW w:w="2965" w:type="dxa"/>
            <w:gridSpan w:val="2"/>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sz w:val="21"/>
                <w:szCs w:val="21"/>
                <w:highlight w:val="none"/>
              </w:rPr>
              <w:t>120db报警声</w:t>
            </w:r>
          </w:p>
        </w:tc>
        <w:tc>
          <w:tcPr>
            <w:tcW w:w="693"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2</w:t>
            </w:r>
          </w:p>
        </w:tc>
        <w:tc>
          <w:tcPr>
            <w:tcW w:w="715"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个</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2" w:hRule="atLeast"/>
          <w:jc w:val="center"/>
        </w:trPr>
        <w:tc>
          <w:tcPr>
            <w:tcW w:w="474"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position w:val="0"/>
                <w:sz w:val="21"/>
                <w:szCs w:val="21"/>
                <w:highlight w:val="none"/>
                <w:lang w:val="en-US" w:eastAsia="zh-CN"/>
              </w:rPr>
              <w:t>6</w:t>
            </w:r>
          </w:p>
        </w:tc>
        <w:tc>
          <w:tcPr>
            <w:tcW w:w="1442"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温湿度传感器</w:t>
            </w:r>
          </w:p>
        </w:tc>
        <w:tc>
          <w:tcPr>
            <w:tcW w:w="2965"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温度精度：±0.5℃</w:t>
            </w:r>
          </w:p>
          <w:p>
            <w:pPr>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sz w:val="21"/>
                <w:szCs w:val="21"/>
                <w:highlight w:val="none"/>
              </w:rPr>
              <w:t>湿度精度：±</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%RH</w:t>
            </w:r>
          </w:p>
        </w:tc>
        <w:tc>
          <w:tcPr>
            <w:tcW w:w="693" w:type="dxa"/>
            <w:vAlign w:val="center"/>
          </w:tcPr>
          <w:p>
            <w:pPr>
              <w:pStyle w:val="70"/>
              <w:widowControl w:val="0"/>
              <w:shd w:val="clear" w:color="auto" w:fill="auto"/>
              <w:spacing w:before="0" w:after="0" w:line="240" w:lineRule="auto"/>
              <w:ind w:right="0" w:firstLine="210" w:firstLineChars="100"/>
              <w:jc w:val="both"/>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2</w:t>
            </w:r>
          </w:p>
        </w:tc>
        <w:tc>
          <w:tcPr>
            <w:tcW w:w="715"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个</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3" w:hRule="atLeast"/>
          <w:jc w:val="center"/>
        </w:trPr>
        <w:tc>
          <w:tcPr>
            <w:tcW w:w="8538" w:type="dxa"/>
            <w:gridSpan w:val="8"/>
            <w:tcBorders>
              <w:top w:val="single" w:color="auto" w:sz="4" w:space="0"/>
            </w:tcBorders>
            <w:vAlign w:val="center"/>
          </w:tcPr>
          <w:p>
            <w:pPr>
              <w:pStyle w:val="70"/>
              <w:widowControl w:val="0"/>
              <w:shd w:val="clear" w:color="auto" w:fill="auto"/>
              <w:spacing w:before="0" w:after="0" w:line="240" w:lineRule="auto"/>
              <w:ind w:left="0" w:leftChars="0" w:right="0" w:firstLine="210" w:firstLineChars="100"/>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w:t>
            </w:r>
            <w:r>
              <w:rPr>
                <w:rFonts w:hint="eastAsia" w:cs="宋体"/>
                <w:color w:val="000000"/>
                <w:spacing w:val="0"/>
                <w:w w:val="100"/>
                <w:position w:val="0"/>
                <w:sz w:val="21"/>
                <w:szCs w:val="21"/>
                <w:highlight w:val="none"/>
                <w:lang w:val="en-US" w:eastAsia="zh-CN"/>
              </w:rPr>
              <w:t>六</w:t>
            </w:r>
            <w:r>
              <w:rPr>
                <w:rFonts w:hint="eastAsia" w:ascii="宋体" w:hAnsi="宋体" w:eastAsia="宋体" w:cs="宋体"/>
                <w:color w:val="000000"/>
                <w:spacing w:val="0"/>
                <w:w w:val="100"/>
                <w:position w:val="0"/>
                <w:sz w:val="21"/>
                <w:szCs w:val="21"/>
                <w:highlight w:val="none"/>
                <w:lang w:val="en-US" w:eastAsia="zh-CN"/>
              </w:rPr>
              <w:t>）其他配套产品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3" w:hRule="atLeast"/>
          <w:jc w:val="center"/>
        </w:trPr>
        <w:tc>
          <w:tcPr>
            <w:tcW w:w="474"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1</w:t>
            </w:r>
          </w:p>
        </w:tc>
        <w:tc>
          <w:tcPr>
            <w:tcW w:w="1442" w:type="dxa"/>
            <w:gridSpan w:val="2"/>
            <w:vAlign w:val="center"/>
          </w:tcPr>
          <w:p>
            <w:pPr>
              <w:wordWrap/>
              <w:snapToGrid/>
              <w:spacing w:line="3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网络交换机</w:t>
            </w:r>
          </w:p>
        </w:tc>
        <w:tc>
          <w:tcPr>
            <w:tcW w:w="2965" w:type="dxa"/>
            <w:gridSpan w:val="2"/>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lang w:val="en-US" w:eastAsia="zh-CN" w:bidi="ar-SA"/>
              </w:rPr>
              <w:t>16口</w:t>
            </w:r>
          </w:p>
        </w:tc>
        <w:tc>
          <w:tcPr>
            <w:tcW w:w="693" w:type="dxa"/>
            <w:vAlign w:val="center"/>
          </w:tcPr>
          <w:p>
            <w:pPr>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lang w:val="en-US" w:eastAsia="zh-CN" w:bidi="ar-SA"/>
              </w:rPr>
              <w:t>1</w:t>
            </w:r>
          </w:p>
        </w:tc>
        <w:tc>
          <w:tcPr>
            <w:tcW w:w="715" w:type="dxa"/>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台</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474"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2</w:t>
            </w:r>
          </w:p>
        </w:tc>
        <w:tc>
          <w:tcPr>
            <w:tcW w:w="1442" w:type="dxa"/>
            <w:gridSpan w:val="2"/>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UPS电源</w:t>
            </w:r>
          </w:p>
        </w:tc>
        <w:tc>
          <w:tcPr>
            <w:tcW w:w="2965" w:type="dxa"/>
            <w:gridSpan w:val="2"/>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sz w:val="21"/>
                <w:szCs w:val="21"/>
                <w:highlight w:val="none"/>
                <w:lang w:val="en-US" w:eastAsia="zh-CN"/>
              </w:rPr>
              <w:t>不少于</w:t>
            </w:r>
            <w:r>
              <w:rPr>
                <w:rFonts w:hint="eastAsia" w:ascii="宋体" w:hAnsi="宋体" w:eastAsia="宋体" w:cs="宋体"/>
                <w:sz w:val="21"/>
                <w:szCs w:val="21"/>
                <w:highlight w:val="none"/>
                <w:lang w:eastAsia="zh-CN"/>
              </w:rPr>
              <w:t>8小时</w:t>
            </w:r>
          </w:p>
        </w:tc>
        <w:tc>
          <w:tcPr>
            <w:tcW w:w="693" w:type="dxa"/>
            <w:vAlign w:val="center"/>
          </w:tcPr>
          <w:p>
            <w:pPr>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lang w:val="en-US" w:eastAsia="zh-CN" w:bidi="ar-SA"/>
              </w:rPr>
              <w:t>1</w:t>
            </w:r>
          </w:p>
        </w:tc>
        <w:tc>
          <w:tcPr>
            <w:tcW w:w="715" w:type="dxa"/>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台</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3" w:hRule="atLeast"/>
          <w:jc w:val="center"/>
        </w:trPr>
        <w:tc>
          <w:tcPr>
            <w:tcW w:w="474"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cs="宋体"/>
                <w:color w:val="000000"/>
                <w:spacing w:val="0"/>
                <w:w w:val="100"/>
                <w:kern w:val="2"/>
                <w:position w:val="0"/>
                <w:sz w:val="21"/>
                <w:szCs w:val="21"/>
                <w:highlight w:val="none"/>
                <w:u w:val="none"/>
                <w:shd w:val="clear" w:color="auto" w:fill="auto"/>
                <w:lang w:val="en-US" w:eastAsia="zh-CN" w:bidi="zh-TW"/>
              </w:rPr>
              <w:t>3</w:t>
            </w:r>
          </w:p>
        </w:tc>
        <w:tc>
          <w:tcPr>
            <w:tcW w:w="1442" w:type="dxa"/>
            <w:gridSpan w:val="2"/>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网络</w:t>
            </w:r>
            <w:r>
              <w:rPr>
                <w:rFonts w:hint="eastAsia" w:ascii="宋体" w:hAnsi="宋体" w:eastAsia="宋体" w:cs="宋体"/>
                <w:sz w:val="21"/>
                <w:szCs w:val="21"/>
                <w:highlight w:val="none"/>
              </w:rPr>
              <w:t>机柜</w:t>
            </w:r>
          </w:p>
        </w:tc>
        <w:tc>
          <w:tcPr>
            <w:tcW w:w="2965" w:type="dxa"/>
            <w:gridSpan w:val="2"/>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U</w:t>
            </w:r>
          </w:p>
        </w:tc>
        <w:tc>
          <w:tcPr>
            <w:tcW w:w="693" w:type="dxa"/>
            <w:vAlign w:val="center"/>
          </w:tcPr>
          <w:p>
            <w:pPr>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lang w:val="en-US" w:eastAsia="zh-CN" w:bidi="ar-SA"/>
              </w:rPr>
              <w:t>1</w:t>
            </w:r>
          </w:p>
        </w:tc>
        <w:tc>
          <w:tcPr>
            <w:tcW w:w="715" w:type="dxa"/>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台</w:t>
            </w:r>
          </w:p>
        </w:tc>
        <w:tc>
          <w:tcPr>
            <w:tcW w:w="2249" w:type="dxa"/>
            <w:vAlign w:val="center"/>
          </w:tcPr>
          <w:p>
            <w:pPr>
              <w:widowControl w:val="0"/>
              <w:shd w:val="clear" w:color="auto" w:fill="auto"/>
              <w:spacing w:before="0" w:after="0" w:line="240" w:lineRule="auto"/>
              <w:ind w:right="0"/>
              <w:jc w:val="left"/>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详见“</w:t>
            </w:r>
            <w:r>
              <w:rPr>
                <w:rFonts w:hint="eastAsia" w:ascii="宋体" w:hAnsi="宋体" w:eastAsia="宋体" w:cs="宋体"/>
                <w:b w:val="0"/>
                <w:bCs w:val="0"/>
                <w:sz w:val="21"/>
                <w:szCs w:val="21"/>
                <w:highlight w:val="none"/>
              </w:rPr>
              <w:t>主要技术参数</w:t>
            </w:r>
            <w:r>
              <w:rPr>
                <w:rFonts w:hint="eastAsia" w:ascii="宋体" w:hAnsi="宋体" w:eastAsia="宋体" w:cs="宋体"/>
                <w:color w:val="000000"/>
                <w:spacing w:val="0"/>
                <w:w w:val="100"/>
                <w:positio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3" w:hRule="atLeast"/>
          <w:jc w:val="center"/>
        </w:trPr>
        <w:tc>
          <w:tcPr>
            <w:tcW w:w="474" w:type="dxa"/>
            <w:vAlign w:val="center"/>
          </w:tcPr>
          <w:p>
            <w:pPr>
              <w:pStyle w:val="70"/>
              <w:widowControl w:val="0"/>
              <w:shd w:val="clear" w:color="auto" w:fill="auto"/>
              <w:spacing w:before="0" w:after="0" w:line="240" w:lineRule="auto"/>
              <w:ind w:right="0"/>
              <w:jc w:val="center"/>
              <w:rPr>
                <w:rFonts w:hint="default" w:ascii="宋体" w:hAnsi="宋体" w:eastAsia="宋体" w:cs="宋体"/>
                <w:color w:val="000000"/>
                <w:spacing w:val="0"/>
                <w:w w:val="100"/>
                <w:position w:val="0"/>
                <w:sz w:val="21"/>
                <w:szCs w:val="21"/>
                <w:highlight w:val="none"/>
                <w:lang w:val="en-US" w:eastAsia="zh-CN"/>
              </w:rPr>
            </w:pPr>
            <w:r>
              <w:rPr>
                <w:rFonts w:hint="eastAsia" w:cs="宋体"/>
                <w:color w:val="000000"/>
                <w:spacing w:val="0"/>
                <w:w w:val="100"/>
                <w:position w:val="0"/>
                <w:sz w:val="21"/>
                <w:szCs w:val="21"/>
                <w:highlight w:val="none"/>
                <w:lang w:val="en-US" w:eastAsia="zh-CN"/>
              </w:rPr>
              <w:t>4</w:t>
            </w:r>
          </w:p>
        </w:tc>
        <w:tc>
          <w:tcPr>
            <w:tcW w:w="1442"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短信猫</w:t>
            </w:r>
          </w:p>
        </w:tc>
        <w:tc>
          <w:tcPr>
            <w:tcW w:w="2965" w:type="dxa"/>
            <w:gridSpan w:val="2"/>
            <w:vAlign w:val="center"/>
          </w:tcPr>
          <w:p>
            <w:pPr>
              <w:pStyle w:val="70"/>
              <w:widowControl w:val="0"/>
              <w:shd w:val="clear" w:color="auto" w:fill="auto"/>
              <w:spacing w:before="0" w:after="0" w:line="240" w:lineRule="auto"/>
              <w:ind w:right="0"/>
              <w:jc w:val="center"/>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kern w:val="2"/>
                <w:sz w:val="21"/>
                <w:szCs w:val="21"/>
                <w:highlight w:val="none"/>
                <w:lang w:val="en-US" w:eastAsia="zh-CN" w:bidi="ar-SA"/>
              </w:rPr>
              <w:t>双频GSM调制解调器</w:t>
            </w:r>
          </w:p>
        </w:tc>
        <w:tc>
          <w:tcPr>
            <w:tcW w:w="693" w:type="dxa"/>
            <w:vAlign w:val="center"/>
          </w:tcPr>
          <w:p>
            <w:pPr>
              <w:widowControl w:val="0"/>
              <w:shd w:val="clear" w:color="auto" w:fill="auto"/>
              <w:spacing w:before="0" w:after="0" w:line="240" w:lineRule="auto"/>
              <w:ind w:right="0"/>
              <w:jc w:val="center"/>
              <w:rPr>
                <w:rFonts w:hint="default"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1</w:t>
            </w:r>
          </w:p>
        </w:tc>
        <w:tc>
          <w:tcPr>
            <w:tcW w:w="715" w:type="dxa"/>
            <w:vAlign w:val="center"/>
          </w:tcPr>
          <w:p>
            <w:pPr>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台</w:t>
            </w:r>
          </w:p>
        </w:tc>
        <w:tc>
          <w:tcPr>
            <w:tcW w:w="2249" w:type="dxa"/>
            <w:vAlign w:val="center"/>
          </w:tcPr>
          <w:p>
            <w:pPr>
              <w:pStyle w:val="70"/>
              <w:widowControl w:val="0"/>
              <w:shd w:val="clear" w:color="auto" w:fill="auto"/>
              <w:spacing w:before="0" w:after="0" w:line="240" w:lineRule="auto"/>
              <w:ind w:right="0"/>
              <w:jc w:val="both"/>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详见“主要技术参数”</w:t>
            </w:r>
          </w:p>
        </w:tc>
      </w:tr>
    </w:tbl>
    <w:p>
      <w:pPr>
        <w:pStyle w:val="18"/>
        <w:jc w:val="center"/>
        <w:rPr>
          <w:rFonts w:hint="eastAsia"/>
          <w:lang w:eastAsia="zh-CN"/>
        </w:rPr>
      </w:pPr>
    </w:p>
    <w:p>
      <w:pPr>
        <w:pStyle w:val="18"/>
        <w:numPr>
          <w:ilvl w:val="0"/>
          <w:numId w:val="10"/>
        </w:numPr>
        <w:ind w:left="0" w:leftChars="0"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技术参数</w:t>
      </w:r>
      <w:r>
        <w:rPr>
          <w:rFonts w:hint="eastAsia" w:hAnsi="宋体" w:cs="宋体"/>
          <w:b/>
          <w:bCs/>
          <w:kern w:val="2"/>
          <w:sz w:val="28"/>
          <w:szCs w:val="28"/>
          <w:lang w:val="en-US" w:eastAsia="zh-CN" w:bidi="ar-SA"/>
        </w:rPr>
        <w:t>：</w:t>
      </w:r>
    </w:p>
    <w:tbl>
      <w:tblPr>
        <w:tblStyle w:val="32"/>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92"/>
        <w:gridCol w:w="7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top"/>
          </w:tcPr>
          <w:p>
            <w:pPr>
              <w:wordWrap/>
              <w:snapToGrid/>
              <w:spacing w:line="24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序号</w:t>
            </w:r>
          </w:p>
        </w:tc>
        <w:tc>
          <w:tcPr>
            <w:tcW w:w="1292" w:type="dxa"/>
            <w:vAlign w:val="top"/>
          </w:tcPr>
          <w:p>
            <w:pPr>
              <w:wordWrap/>
              <w:snapToGrid/>
              <w:spacing w:line="24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货物名称</w:t>
            </w:r>
          </w:p>
        </w:tc>
        <w:tc>
          <w:tcPr>
            <w:tcW w:w="7706" w:type="dxa"/>
            <w:vAlign w:val="top"/>
          </w:tcPr>
          <w:p>
            <w:pPr>
              <w:wordWrap/>
              <w:snapToGrid/>
              <w:spacing w:line="24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gridSpan w:val="3"/>
            <w:vAlign w:val="top"/>
          </w:tcPr>
          <w:p>
            <w:pPr>
              <w:wordWrap/>
              <w:snapToGrid/>
              <w:spacing w:line="24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sz w:val="21"/>
                <w:szCs w:val="21"/>
                <w:highlight w:val="none"/>
              </w:rPr>
              <w:t>一、智能枪（弹）柜系统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top"/>
          </w:tcPr>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eastAsia" w:ascii="宋体" w:hAnsi="宋体" w:eastAsia="宋体" w:cs="宋体"/>
                <w:b w:val="0"/>
                <w:bCs w:val="0"/>
                <w:sz w:val="21"/>
                <w:szCs w:val="21"/>
                <w:highlight w:val="none"/>
              </w:rPr>
            </w:pPr>
          </w:p>
          <w:p>
            <w:pPr>
              <w:wordWrap/>
              <w:snapToGrid/>
              <w:spacing w:line="240" w:lineRule="auto"/>
              <w:jc w:val="both"/>
              <w:textAlignment w:val="auto"/>
              <w:rPr>
                <w:rFonts w:hint="default"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en-US" w:eastAsia="zh-CN"/>
              </w:rPr>
              <w:t>2</w:t>
            </w:r>
          </w:p>
        </w:tc>
        <w:tc>
          <w:tcPr>
            <w:tcW w:w="1292" w:type="dxa"/>
            <w:vAlign w:val="top"/>
          </w:tcPr>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p>
          <w:p>
            <w:pPr>
              <w:wordWrap/>
              <w:snapToGrid/>
              <w:spacing w:line="24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智能枪（弹）</w:t>
            </w:r>
            <w:r>
              <w:rPr>
                <w:rFonts w:hint="default"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rPr>
              <w:t>柜</w:t>
            </w:r>
          </w:p>
        </w:tc>
        <w:tc>
          <w:tcPr>
            <w:tcW w:w="7706" w:type="dxa"/>
            <w:vAlign w:val="top"/>
          </w:tcPr>
          <w:p>
            <w:pPr>
              <w:numPr>
                <w:ilvl w:val="0"/>
                <w:numId w:val="0"/>
              </w:numPr>
              <w:spacing w:line="240" w:lineRule="auto"/>
              <w:ind w:left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1、</w:t>
            </w:r>
            <w:r>
              <w:rPr>
                <w:rFonts w:hint="eastAsia" w:ascii="宋体" w:hAnsi="宋体" w:eastAsia="宋体" w:cs="宋体"/>
                <w:color w:val="auto"/>
                <w:sz w:val="21"/>
                <w:szCs w:val="24"/>
                <w:highlight w:val="none"/>
              </w:rPr>
              <w:t>规格</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4"/>
                <w:highlight w:val="none"/>
              </w:rPr>
              <w:t>W1</w:t>
            </w:r>
            <w:r>
              <w:rPr>
                <w:rFonts w:hint="eastAsia" w:ascii="宋体" w:hAnsi="宋体" w:cs="宋体"/>
                <w:color w:val="auto"/>
                <w:sz w:val="21"/>
                <w:szCs w:val="24"/>
                <w:highlight w:val="none"/>
                <w:lang w:val="en-US" w:eastAsia="zh-CN"/>
              </w:rPr>
              <w:t>1</w:t>
            </w:r>
            <w:r>
              <w:rPr>
                <w:rFonts w:hint="eastAsia" w:ascii="宋体" w:hAnsi="宋体" w:eastAsia="宋体" w:cs="宋体"/>
                <w:color w:val="auto"/>
                <w:sz w:val="21"/>
                <w:szCs w:val="24"/>
                <w:highlight w:val="none"/>
              </w:rPr>
              <w:t>00mm*D500mm*H1</w:t>
            </w:r>
            <w:r>
              <w:rPr>
                <w:rFonts w:hint="eastAsia" w:ascii="宋体" w:hAnsi="宋体" w:eastAsia="宋体" w:cs="宋体"/>
                <w:color w:val="auto"/>
                <w:sz w:val="21"/>
                <w:szCs w:val="24"/>
                <w:highlight w:val="none"/>
                <w:lang w:val="en-US" w:eastAsia="zh-CN"/>
              </w:rPr>
              <w:t>8</w:t>
            </w:r>
            <w:r>
              <w:rPr>
                <w:rFonts w:hint="eastAsia" w:ascii="宋体" w:hAnsi="宋体" w:eastAsia="宋体" w:cs="宋体"/>
                <w:color w:val="auto"/>
                <w:sz w:val="21"/>
                <w:szCs w:val="24"/>
                <w:highlight w:val="none"/>
              </w:rPr>
              <w:t>00mm（</w:t>
            </w:r>
            <w:r>
              <w:rPr>
                <w:rFonts w:hint="eastAsia" w:ascii="宋体" w:hAnsi="宋体" w:eastAsia="宋体" w:cs="宋体"/>
                <w:color w:val="auto"/>
                <w:sz w:val="21"/>
                <w:szCs w:val="21"/>
                <w:highlight w:val="none"/>
                <w:lang w:val="en-US" w:eastAsia="zh-CN"/>
              </w:rPr>
              <w:t>根据项目</w:t>
            </w:r>
            <w:r>
              <w:rPr>
                <w:rFonts w:hint="eastAsia" w:ascii="宋体" w:hAnsi="宋体" w:eastAsia="宋体" w:cs="宋体"/>
                <w:color w:val="auto"/>
                <w:sz w:val="21"/>
                <w:szCs w:val="24"/>
                <w:highlight w:val="none"/>
              </w:rPr>
              <w:t>需求定制）</w:t>
            </w:r>
            <w:r>
              <w:rPr>
                <w:rFonts w:hint="eastAsia" w:ascii="宋体" w:hAnsi="宋体" w:eastAsia="宋体" w:cs="宋体"/>
                <w:color w:val="auto"/>
                <w:sz w:val="21"/>
                <w:szCs w:val="24"/>
                <w:highlight w:val="none"/>
                <w:lang w:eastAsia="zh-CN"/>
              </w:rPr>
              <w:t>。</w:t>
            </w:r>
          </w:p>
          <w:p>
            <w:pPr>
              <w:pStyle w:val="2"/>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2、</w:t>
            </w:r>
            <w:r>
              <w:rPr>
                <w:rFonts w:hint="eastAsia" w:ascii="宋体" w:hAnsi="宋体" w:eastAsia="宋体" w:cs="宋体"/>
                <w:color w:val="auto"/>
                <w:sz w:val="21"/>
                <w:szCs w:val="21"/>
                <w:highlight w:val="none"/>
                <w:lang w:val="en-US" w:eastAsia="zh-CN"/>
              </w:rPr>
              <w:t>柜内</w:t>
            </w:r>
            <w:r>
              <w:rPr>
                <w:rFonts w:hint="eastAsia" w:ascii="宋体" w:hAnsi="宋体" w:eastAsia="宋体" w:cs="宋体"/>
                <w:color w:val="auto"/>
                <w:sz w:val="21"/>
                <w:szCs w:val="24"/>
                <w:highlight w:val="none"/>
              </w:rPr>
              <w:t>存放数</w:t>
            </w:r>
            <w:r>
              <w:rPr>
                <w:rFonts w:hint="eastAsia" w:ascii="宋体" w:hAnsi="宋体" w:eastAsia="宋体" w:cs="宋体"/>
                <w:color w:val="auto"/>
                <w:sz w:val="21"/>
                <w:szCs w:val="24"/>
                <w:highlight w:val="none"/>
                <w:lang w:val="en-US" w:eastAsia="zh-CN"/>
              </w:rPr>
              <w:t>量：详见采购清单。</w:t>
            </w:r>
          </w:p>
          <w:p>
            <w:pPr>
              <w:pStyle w:val="2"/>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专用柜外表面和柜体内部均应进行表面处理（不锈钢除外），表面处理包括电镀、喷涂、配置装饰性防腐材料等；使用的各种易锈蚀零件，均应进行防腐处理，如电镀、喷涂等。焊接部分的焊渣应在表面处理前进行清除，焊接点不应有尖角和锐边。</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、柜体采用优质低碳合金高强度结构钢板，门板料厚≥</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mm，柜体料厚≥</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钢板的抗拉强度应大于或等于345MPa，防破坏等级达到I级以上。</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sz w:val="21"/>
                <w:szCs w:val="21"/>
                <w:highlight w:val="none"/>
                <w:lang w:val="en-US" w:eastAsia="zh-CN"/>
              </w:rPr>
              <w:t>5、柜上配置的机械防盗锁具：</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5.1、应符合GA/T 73-2015中 C级锁对锁头的技术要求 ，锁头结构为叶片结构；</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5.2、差异量：以长度变化为差异的，其差异量应不小于 0.6mm; 以角度变化为差异的，其差异量应不小于 15°；</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5.3、实际可用密钥量：插芯式、外装式机械防盗锁应不大于理论密钥量的 40%;密码式机械防盗锁应不大于理论密钥量的 60%</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6、柜内搁板应能承受</w:t>
            </w:r>
            <w:r>
              <w:rPr>
                <w:rFonts w:hint="eastAsia" w:ascii="宋体" w:hAnsi="宋体" w:eastAsia="宋体" w:cs="宋体"/>
                <w:color w:val="auto"/>
                <w:sz w:val="21"/>
                <w:szCs w:val="21"/>
                <w:highlight w:val="none"/>
                <w:lang w:val="en-US" w:eastAsia="en-US"/>
              </w:rPr>
              <w:t>30g/</w:t>
            </w:r>
            <w:r>
              <w:rPr>
                <w:rFonts w:hint="eastAsia" w:ascii="宋体" w:hAnsi="宋体" w:eastAsia="宋体" w:cs="宋体"/>
                <w:color w:val="auto"/>
                <w:sz w:val="21"/>
                <w:szCs w:val="21"/>
                <w:highlight w:val="none"/>
                <w:lang w:val="en-US" w:eastAsia="zh-CN"/>
              </w:rPr>
              <w:t>㎠的均布载荷放置10</w:t>
            </w:r>
            <w:r>
              <w:rPr>
                <w:rFonts w:hint="eastAsia" w:ascii="宋体" w:hAnsi="宋体" w:eastAsia="宋体" w:cs="宋体"/>
                <w:color w:val="auto"/>
                <w:sz w:val="21"/>
                <w:szCs w:val="21"/>
                <w:highlight w:val="none"/>
                <w:lang w:val="en-US" w:eastAsia="en-US"/>
              </w:rPr>
              <w:t>min,</w:t>
            </w:r>
            <w:r>
              <w:rPr>
                <w:rFonts w:hint="eastAsia" w:ascii="宋体" w:hAnsi="宋体" w:eastAsia="宋体" w:cs="宋体"/>
                <w:color w:val="auto"/>
                <w:sz w:val="21"/>
                <w:szCs w:val="21"/>
                <w:highlight w:val="none"/>
                <w:lang w:val="en-US" w:eastAsia="zh-CN"/>
              </w:rPr>
              <w:t>搁板及相应设施不应有损坏和明显的变形。</w:t>
            </w:r>
          </w:p>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柜体内相对湿度应保持在</w:t>
            </w:r>
            <w:r>
              <w:rPr>
                <w:rFonts w:hint="eastAsia" w:ascii="宋体" w:hAnsi="宋体" w:eastAsia="宋体" w:cs="宋体"/>
                <w:color w:val="auto"/>
                <w:sz w:val="21"/>
                <w:szCs w:val="21"/>
                <w:highlight w:val="none"/>
                <w:lang w:val="en-US" w:eastAsia="en-US"/>
              </w:rPr>
              <w:t>70%RH</w:t>
            </w:r>
            <w:r>
              <w:rPr>
                <w:rFonts w:hint="eastAsia" w:ascii="宋体" w:hAnsi="宋体" w:eastAsia="宋体" w:cs="宋体"/>
                <w:color w:val="auto"/>
                <w:sz w:val="21"/>
                <w:szCs w:val="21"/>
                <w:highlight w:val="none"/>
              </w:rPr>
              <w:t>以下</w:t>
            </w:r>
            <w:r>
              <w:rPr>
                <w:rFonts w:hint="eastAsia" w:ascii="宋体" w:hAnsi="宋体" w:eastAsia="宋体" w:cs="宋体"/>
                <w:color w:val="auto"/>
                <w:sz w:val="21"/>
                <w:szCs w:val="21"/>
                <w:highlight w:val="none"/>
                <w:lang w:eastAsia="zh-CN"/>
              </w:rPr>
              <w:t>。</w:t>
            </w:r>
          </w:p>
          <w:p>
            <w:pPr>
              <w:pStyle w:val="2"/>
              <w:numPr>
                <w:ilvl w:val="0"/>
                <w:numId w:val="0"/>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智能柜底部具有4个高度可调装置，可根据地面平整度，微调高度，高度可调装置可承重400KG以上。</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柜体配置：</w:t>
            </w:r>
            <w:r>
              <w:rPr>
                <w:rFonts w:hint="eastAsia" w:ascii="宋体" w:hAnsi="宋体" w:eastAsia="宋体" w:cs="宋体"/>
                <w:color w:val="auto"/>
                <w:sz w:val="21"/>
                <w:szCs w:val="21"/>
                <w:highlight w:val="none"/>
              </w:rPr>
              <w:t>柜门配置</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把机械防盗锁(应急锁)和1套智能枪（弹）柜嵌入式控制系统，</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寸电容式触摸屏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控制系统防黑、防毒能力强，反应速度快，采用工业级ARM嵌入式控制板（不是X86架构主机），ARM主板CPU采用不低于1.8GHZ的四核，操作系统采用定制linux系统不得采用windows系统。触摸屏面板集成</w:t>
            </w:r>
            <w:r>
              <w:rPr>
                <w:rFonts w:hint="eastAsia" w:ascii="宋体" w:hAnsi="宋体" w:eastAsia="宋体" w:cs="宋体"/>
                <w:color w:val="auto"/>
                <w:sz w:val="21"/>
                <w:szCs w:val="21"/>
                <w:highlight w:val="none"/>
                <w:lang w:val="en-US" w:eastAsia="zh-CN"/>
              </w:rPr>
              <w:t>电容指纹</w:t>
            </w:r>
            <w:r>
              <w:rPr>
                <w:rFonts w:hint="eastAsia" w:ascii="宋体" w:hAnsi="宋体" w:eastAsia="宋体" w:cs="宋体"/>
                <w:color w:val="auto"/>
                <w:sz w:val="21"/>
                <w:szCs w:val="21"/>
                <w:highlight w:val="none"/>
              </w:rPr>
              <w:t>、微型摄像头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语音提示</w:t>
            </w:r>
            <w:r>
              <w:rPr>
                <w:rFonts w:hint="eastAsia" w:ascii="宋体" w:hAnsi="宋体" w:eastAsia="宋体" w:cs="宋体"/>
                <w:color w:val="auto"/>
                <w:sz w:val="21"/>
                <w:szCs w:val="21"/>
                <w:highlight w:val="none"/>
                <w:lang w:val="en-US" w:eastAsia="zh-CN"/>
              </w:rPr>
              <w:t>模块</w:t>
            </w:r>
            <w:r>
              <w:rPr>
                <w:rFonts w:hint="eastAsia" w:ascii="宋体" w:hAnsi="宋体" w:eastAsia="宋体" w:cs="宋体"/>
                <w:color w:val="auto"/>
                <w:sz w:val="21"/>
                <w:szCs w:val="21"/>
                <w:highlight w:val="none"/>
              </w:rPr>
              <w:t>、酒精</w:t>
            </w:r>
            <w:r>
              <w:rPr>
                <w:rFonts w:hint="eastAsia" w:ascii="宋体" w:hAnsi="宋体" w:eastAsia="宋体" w:cs="宋体"/>
                <w:color w:val="auto"/>
                <w:sz w:val="21"/>
                <w:szCs w:val="21"/>
                <w:highlight w:val="none"/>
                <w:lang w:val="en-US" w:eastAsia="zh-CN"/>
              </w:rPr>
              <w:t>识别</w:t>
            </w:r>
            <w:r>
              <w:rPr>
                <w:rFonts w:hint="eastAsia" w:ascii="宋体" w:hAnsi="宋体" w:eastAsia="宋体" w:cs="宋体"/>
                <w:color w:val="auto"/>
                <w:sz w:val="21"/>
                <w:szCs w:val="21"/>
                <w:highlight w:val="none"/>
              </w:rPr>
              <w:t>模块。</w:t>
            </w:r>
          </w:p>
          <w:p>
            <w:pPr>
              <w:pStyle w:val="2"/>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、系统上配置</w:t>
            </w:r>
            <w:r>
              <w:rPr>
                <w:rFonts w:hint="eastAsia" w:ascii="宋体" w:hAnsi="宋体" w:eastAsia="宋体" w:cs="宋体"/>
                <w:color w:val="auto"/>
                <w:sz w:val="21"/>
                <w:szCs w:val="21"/>
                <w:highlight w:val="none"/>
                <w:lang w:val="en-US" w:eastAsia="zh-CN"/>
              </w:rPr>
              <w:t>指纹</w:t>
            </w:r>
            <w:r>
              <w:rPr>
                <w:rFonts w:hint="eastAsia" w:ascii="宋体" w:hAnsi="宋体" w:eastAsia="宋体" w:cs="宋体"/>
                <w:color w:val="auto"/>
                <w:sz w:val="21"/>
                <w:szCs w:val="21"/>
                <w:highlight w:val="none"/>
              </w:rPr>
              <w:t>识别</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人脸识别</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多生物识别技术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指纹仪使用电容指纹仪，当指纹识别失效时，能用人脸识别开锁，</w:t>
            </w:r>
            <w:r>
              <w:rPr>
                <w:rFonts w:hint="eastAsia" w:ascii="宋体" w:hAnsi="宋体" w:eastAsia="宋体" w:cs="宋体"/>
                <w:color w:val="auto"/>
                <w:sz w:val="21"/>
                <w:szCs w:val="21"/>
                <w:highlight w:val="none"/>
              </w:rPr>
              <w:t>互为备用，杜绝使用IC卡或密码备用开门，保证系统安全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val="en-US" w:eastAsia="zh-CN"/>
              </w:rPr>
              <w:t>指纹</w:t>
            </w:r>
            <w:r>
              <w:rPr>
                <w:rFonts w:hint="eastAsia" w:ascii="宋体" w:hAnsi="宋体" w:eastAsia="宋体" w:cs="宋体"/>
                <w:color w:val="auto"/>
                <w:sz w:val="21"/>
                <w:szCs w:val="21"/>
                <w:highlight w:val="none"/>
              </w:rPr>
              <w:t>生物识别技术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每人可预存≤10枚指纹特征用</w:t>
            </w:r>
            <w:r>
              <w:rPr>
                <w:rFonts w:hint="eastAsia" w:ascii="宋体" w:hAnsi="宋体" w:eastAsia="宋体" w:cs="宋体"/>
                <w:color w:val="auto"/>
                <w:sz w:val="21"/>
                <w:szCs w:val="21"/>
                <w:highlight w:val="none"/>
                <w:lang w:val="en-US" w:eastAsia="zh-CN"/>
              </w:rPr>
              <w:t>指纹</w:t>
            </w:r>
            <w:r>
              <w:rPr>
                <w:rFonts w:hint="eastAsia" w:ascii="宋体" w:hAnsi="宋体" w:eastAsia="宋体" w:cs="宋体"/>
                <w:color w:val="auto"/>
                <w:sz w:val="21"/>
                <w:szCs w:val="21"/>
                <w:highlight w:val="none"/>
              </w:rPr>
              <w:t>识别，本地容量≥</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rPr>
              <w:t>枚。</w:t>
            </w:r>
            <w:r>
              <w:rPr>
                <w:rFonts w:hint="eastAsia" w:ascii="宋体" w:hAnsi="宋体" w:eastAsia="宋体" w:cs="宋体"/>
                <w:color w:val="auto"/>
                <w:sz w:val="21"/>
                <w:szCs w:val="21"/>
                <w:highlight w:val="none"/>
                <w:lang w:val="en-US" w:eastAsia="zh-CN"/>
              </w:rPr>
              <w:t>指纹</w:t>
            </w:r>
            <w:r>
              <w:rPr>
                <w:rFonts w:hint="eastAsia" w:ascii="宋体" w:hAnsi="宋体" w:eastAsia="宋体" w:cs="宋体"/>
                <w:color w:val="auto"/>
                <w:sz w:val="21"/>
                <w:szCs w:val="21"/>
                <w:highlight w:val="none"/>
              </w:rPr>
              <w:t>信息存放在枪柜系统中，同时备份存放于服务器上，两者要实现同步。其他生物识别符合国家相关标准。</w:t>
            </w:r>
          </w:p>
          <w:p>
            <w:pPr>
              <w:pStyle w:val="76"/>
              <w:numPr>
                <w:ilvl w:val="0"/>
                <w:numId w:val="0"/>
              </w:numPr>
              <w:spacing w:line="240" w:lineRule="auto"/>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bidi="ar-SA"/>
              </w:rPr>
              <w:t>11、</w:t>
            </w:r>
            <w:r>
              <w:rPr>
                <w:rFonts w:hint="eastAsia" w:ascii="宋体" w:hAnsi="宋体" w:eastAsia="宋体" w:cs="宋体"/>
                <w:color w:val="auto"/>
                <w:sz w:val="21"/>
                <w:szCs w:val="21"/>
                <w:highlight w:val="none"/>
              </w:rPr>
              <w:t>待机唤醒功能：当触摸式液晶显示屏处于待机黑屏状态时，可通过点击屏幕唤醒显示屏，或通过指纹/人脸/虹膜验证通过后唤醒显示屏，并直接进入枪支/弹药领取界面。</w:t>
            </w:r>
          </w:p>
          <w:p>
            <w:pPr>
              <w:spacing w:line="240" w:lineRule="auto"/>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kern w:val="2"/>
                <w:sz w:val="21"/>
                <w:szCs w:val="21"/>
                <w:highlight w:val="none"/>
                <w:u w:val="none"/>
                <w:shd w:val="clear" w:color="auto" w:fill="auto"/>
                <w:lang w:val="en-US" w:eastAsia="zh-CN" w:bidi="ar-SA"/>
              </w:rPr>
              <w:t>▲12、人机界面显示功能：</w:t>
            </w:r>
          </w:p>
          <w:p>
            <w:pPr>
              <w:spacing w:line="240" w:lineRule="auto"/>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kern w:val="2"/>
                <w:sz w:val="21"/>
                <w:szCs w:val="21"/>
                <w:highlight w:val="none"/>
                <w:u w:val="none"/>
                <w:shd w:val="clear" w:color="auto" w:fill="auto"/>
                <w:lang w:val="en-US" w:eastAsia="zh-CN" w:bidi="ar-SA"/>
              </w:rPr>
              <w:t>12.1、具备人机显示界面，人机显示界面应能实时显示日期、时间、温湿度、酒精浓度、电源状态、自检状态、网络连接状态、数据下载状态等。</w:t>
            </w:r>
          </w:p>
          <w:p>
            <w:pPr>
              <w:spacing w:line="240" w:lineRule="auto"/>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kern w:val="2"/>
                <w:sz w:val="21"/>
                <w:szCs w:val="21"/>
                <w:highlight w:val="none"/>
                <w:u w:val="none"/>
                <w:shd w:val="clear" w:color="auto" w:fill="auto"/>
                <w:lang w:val="en-US" w:eastAsia="zh-CN" w:bidi="ar-SA"/>
              </w:rPr>
              <w:t>12.2、人机界面应能显示状态查看、现场授权、取还枪弹、出入柜、值班表、记录查询、常用设置、系统管理等操作选项。</w:t>
            </w:r>
          </w:p>
          <w:p>
            <w:pPr>
              <w:spacing w:line="240" w:lineRule="auto"/>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kern w:val="2"/>
                <w:sz w:val="21"/>
                <w:szCs w:val="21"/>
                <w:highlight w:val="none"/>
                <w:u w:val="none"/>
                <w:shd w:val="clear" w:color="auto" w:fill="auto"/>
                <w:lang w:val="en-US" w:eastAsia="zh-CN" w:bidi="ar-SA"/>
              </w:rPr>
              <w:t>12.3、显示屏具有节能功能，市电断开转为备用电源时，显示屏亮度自动降低来减少功耗；市电正常后，自动恢复较高亮度。</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13、</w:t>
            </w:r>
            <w:r>
              <w:rPr>
                <w:rFonts w:hint="eastAsia" w:ascii="宋体" w:hAnsi="宋体" w:eastAsia="宋体" w:cs="宋体"/>
                <w:color w:val="auto"/>
                <w:sz w:val="21"/>
                <w:szCs w:val="21"/>
                <w:highlight w:val="none"/>
              </w:rPr>
              <w:t>主动交互提示功能：当内置摄像头监视区域内出现人脸时，可将该人脸图像和已注册的人脸图像进行自动比对，比对通过后应主动以文字或语音两种形式给出身份信息和交互提示。</w:t>
            </w:r>
          </w:p>
          <w:p>
            <w:pPr>
              <w:keepNext w:val="0"/>
              <w:keepLines w:val="0"/>
              <w:widowControl/>
              <w:suppressLineNumbers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▲14、指纹模块具备如下功能：</w:t>
            </w:r>
          </w:p>
          <w:p>
            <w:pPr>
              <w:pStyle w:val="76"/>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14.1、指纹测试中，认假率应≤0.001%；拒真率应≤0.4%；</w:t>
            </w:r>
          </w:p>
          <w:p>
            <w:pPr>
              <w:pStyle w:val="76"/>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14.2、</w:t>
            </w:r>
            <w:r>
              <w:rPr>
                <w:rFonts w:hint="eastAsia" w:asciiTheme="minorEastAsia" w:hAnsiTheme="minorEastAsia" w:eastAsiaTheme="minorEastAsia" w:cstheme="minorEastAsia"/>
                <w:color w:val="auto"/>
                <w:sz w:val="21"/>
                <w:szCs w:val="21"/>
                <w:highlight w:val="none"/>
                <w:lang w:val="en-US" w:eastAsia="zh-CN"/>
              </w:rPr>
              <w:t>指纹比对平均响应时间：1:1比对时，平均响应时间应≤24ms；1:N比对时，平均响应时间应≤270ms(N=512)</w:t>
            </w:r>
          </w:p>
          <w:p>
            <w:pPr>
              <w:pStyle w:val="76"/>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w:t>
            </w:r>
            <w:r>
              <w:rPr>
                <w:rFonts w:hint="eastAsia" w:asciiTheme="minorEastAsia" w:hAnsiTheme="minorEastAsia" w:eastAsiaTheme="minorEastAsia" w:cstheme="minorEastAsia"/>
                <w:color w:val="auto"/>
                <w:sz w:val="21"/>
                <w:szCs w:val="21"/>
                <w:highlight w:val="none"/>
                <w:lang w:val="en-US" w:eastAsia="zh-CN"/>
              </w:rPr>
              <w:t>特征生成时间试验:单枚手指从图像到生成特征时间应≤450ms</w:t>
            </w:r>
          </w:p>
          <w:p>
            <w:pPr>
              <w:pStyle w:val="76"/>
              <w:spacing w:line="240" w:lineRule="auto"/>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color w:val="auto"/>
                <w:sz w:val="21"/>
                <w:szCs w:val="21"/>
                <w:highlight w:val="none"/>
                <w:lang w:val="en-US" w:eastAsia="zh-CN"/>
              </w:rPr>
              <w:t>14.4、存储容量检测:存储指纹特征模板数应不少于512个。</w:t>
            </w:r>
          </w:p>
          <w:p>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▲15.人脸识别摄像头具备如下功能：</w:t>
            </w:r>
          </w:p>
          <w:p>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15.1、错误接受率和错误拒绝率试验：在同一设定阈值条件下，设备的错误接受率（FAR）小于或等于 0.1% 时， 错误拒绝率(FFR) 小于或等于5%。</w:t>
            </w:r>
          </w:p>
          <w:p>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15.2、摄像头畸变试验：设备摄像头畸变应小于等于 5%。</w:t>
            </w:r>
          </w:p>
          <w:p>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15.3、性别属性判断准确率试验：设备性别属性判断准确率应大于等于 95%。</w:t>
            </w:r>
          </w:p>
          <w:p>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15.4、人脸识别距离试验：设备人脸识别距离范围应为0.3m~2.0m。</w:t>
            </w:r>
          </w:p>
          <w:p>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15.5、1:N 人脸识别响应时间试验：设备 1:N 人脸识别平均响应时间应小于等于 1.0s。</w:t>
            </w:r>
          </w:p>
          <w:p>
            <w:pPr>
              <w:pStyle w:val="76"/>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15.6、参数设置功能试验：设备应支持通过操作软件设置人脸识别阈值和活体检测阈值。</w:t>
            </w:r>
          </w:p>
          <w:p>
            <w:pPr>
              <w:pStyle w:val="2"/>
              <w:spacing w:line="240" w:lineRule="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bidi="ar-SA"/>
              </w:rPr>
              <w:t>超时退出登录功能：智能柜系统具备超时自动退出登录并返回首页，防止管理员忘记退出账户后，其他人员继续使用该账户操作。超时时间可自定义设置。</w:t>
            </w:r>
            <w:r>
              <w:rPr>
                <w:rFonts w:hint="eastAsia" w:ascii="宋体" w:hAnsi="宋体" w:eastAsia="宋体" w:cs="宋体"/>
                <w:color w:val="auto"/>
                <w:sz w:val="21"/>
                <w:szCs w:val="21"/>
                <w:highlight w:val="none"/>
                <w:lang w:val="en-US" w:eastAsia="zh-CN"/>
              </w:rPr>
              <w:t>。</w:t>
            </w:r>
          </w:p>
          <w:p>
            <w:pPr>
              <w:spacing w:line="240" w:lineRule="auto"/>
              <w:rPr>
                <w:rFonts w:hint="default"/>
                <w:color w:val="auto"/>
                <w:highlight w:val="none"/>
              </w:rPr>
            </w:pPr>
            <w:r>
              <w:rPr>
                <w:rFonts w:hint="eastAsia" w:ascii="宋体" w:hAnsi="宋体" w:eastAsia="宋体" w:cs="宋体"/>
                <w:color w:val="auto"/>
                <w:sz w:val="21"/>
                <w:szCs w:val="21"/>
                <w:highlight w:val="none"/>
                <w:lang w:val="en-US" w:eastAsia="zh-CN"/>
              </w:rPr>
              <w:t>17</w:t>
            </w:r>
            <w:r>
              <w:rPr>
                <w:rFonts w:hint="default" w:ascii="宋体" w:hAnsi="宋体" w:eastAsia="宋体" w:cs="宋体"/>
                <w:color w:val="auto"/>
                <w:sz w:val="21"/>
                <w:szCs w:val="21"/>
                <w:highlight w:val="none"/>
              </w:rPr>
              <w:t>、酒精检测：吹气检测饮酒情况的功能，吹气时长应达到3至5秒深度呼气要求，酒精检测装置应带有气体压力感应装置。呼气时，显示屏读取压力感应装置数值，应以进度条方式显示。在检测出饮酒情况后能够立即终止当前操作流程返回主界面，并发出报警提示。</w:t>
            </w:r>
          </w:p>
          <w:p>
            <w:pPr>
              <w:keepNext w:val="0"/>
              <w:keepLines w:val="0"/>
              <w:pageBreakBefore w:val="0"/>
              <w:widowControl/>
              <w:kinsoku/>
              <w:wordWrap/>
              <w:overflowPunct/>
              <w:topLinePunct w:val="0"/>
              <w:bidi w:val="0"/>
              <w:snapToGrid/>
              <w:spacing w:line="240" w:lineRule="auto"/>
              <w:jc w:val="left"/>
              <w:textAlignment w:val="auto"/>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bidi="ar-SA"/>
              </w:rPr>
              <w:t>18、人</w:t>
            </w:r>
            <w:r>
              <w:rPr>
                <w:rFonts w:hint="eastAsia" w:ascii="宋体" w:hAnsi="宋体" w:eastAsia="宋体" w:cs="宋体"/>
                <w:color w:val="auto"/>
                <w:sz w:val="21"/>
                <w:szCs w:val="21"/>
                <w:highlight w:val="none"/>
                <w:lang w:val="en-US" w:eastAsia="zh-CN"/>
              </w:rPr>
              <w:t>脸识别功能：</w:t>
            </w:r>
            <w:r>
              <w:rPr>
                <w:rFonts w:hint="eastAsia" w:ascii="宋体" w:hAnsi="宋体" w:eastAsia="宋体" w:cs="宋体"/>
                <w:color w:val="auto"/>
                <w:sz w:val="21"/>
                <w:szCs w:val="21"/>
                <w:highlight w:val="none"/>
              </w:rPr>
              <w:t>支持离线人脸识别，支持在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米外无感识别用户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支持防伪检测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支持近距离特定动作识别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支持表情识别</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、柜体嵌入软件提供领取、归还、在位状态、终端设置等功能方便操作人员使用。</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19.1、</w:t>
            </w:r>
            <w:r>
              <w:rPr>
                <w:rFonts w:hint="eastAsia" w:ascii="宋体" w:hAnsi="宋体" w:eastAsia="宋体" w:cs="宋体"/>
                <w:color w:val="auto"/>
                <w:sz w:val="21"/>
                <w:szCs w:val="21"/>
                <w:highlight w:val="none"/>
              </w:rPr>
              <w:t>领取功能：可选择</w:t>
            </w:r>
            <w:r>
              <w:rPr>
                <w:rFonts w:hint="eastAsia" w:ascii="宋体" w:hAnsi="宋体" w:eastAsia="宋体" w:cs="宋体"/>
                <w:color w:val="auto"/>
                <w:sz w:val="21"/>
                <w:szCs w:val="21"/>
                <w:highlight w:val="none"/>
                <w:lang w:val="en-US" w:eastAsia="zh-CN"/>
              </w:rPr>
              <w:t>枪弹领用事由，支持</w:t>
            </w:r>
            <w:r>
              <w:rPr>
                <w:rFonts w:hint="eastAsia" w:ascii="宋体" w:hAnsi="宋体" w:eastAsia="宋体" w:cs="宋体"/>
                <w:color w:val="auto"/>
                <w:sz w:val="21"/>
                <w:szCs w:val="21"/>
                <w:highlight w:val="none"/>
              </w:rPr>
              <w:t>远程审批或现场审批；</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19.2、</w:t>
            </w:r>
            <w:r>
              <w:rPr>
                <w:rFonts w:hint="eastAsia" w:ascii="宋体" w:hAnsi="宋体" w:eastAsia="宋体" w:cs="宋体"/>
                <w:color w:val="auto"/>
                <w:sz w:val="21"/>
                <w:szCs w:val="21"/>
                <w:highlight w:val="none"/>
              </w:rPr>
              <w:t>归还</w:t>
            </w:r>
            <w:r>
              <w:rPr>
                <w:rFonts w:hint="eastAsia" w:ascii="宋体" w:hAnsi="宋体" w:eastAsia="宋体" w:cs="宋体"/>
                <w:color w:val="auto"/>
                <w:sz w:val="21"/>
                <w:szCs w:val="21"/>
                <w:highlight w:val="none"/>
                <w:lang w:val="en-US" w:eastAsia="zh-CN"/>
              </w:rPr>
              <w:t>功能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远程审批或现场审批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支持代还功能，同一操作流程中归还的多把枪支</w:t>
            </w:r>
            <w:r>
              <w:rPr>
                <w:rFonts w:hint="eastAsia" w:ascii="宋体" w:hAnsi="宋体" w:eastAsia="宋体" w:cs="宋体"/>
                <w:color w:val="auto"/>
                <w:sz w:val="21"/>
                <w:szCs w:val="21"/>
                <w:highlight w:val="none"/>
              </w:rPr>
              <w:t>，管理平台报表在同一</w:t>
            </w:r>
            <w:r>
              <w:rPr>
                <w:rFonts w:hint="eastAsia" w:ascii="宋体" w:hAnsi="宋体" w:eastAsia="宋体" w:cs="宋体"/>
                <w:color w:val="auto"/>
                <w:sz w:val="21"/>
                <w:szCs w:val="21"/>
                <w:highlight w:val="none"/>
                <w:lang w:val="en-US" w:eastAsia="zh-CN"/>
              </w:rPr>
              <w:t>条日志</w:t>
            </w:r>
            <w:r>
              <w:rPr>
                <w:rFonts w:hint="eastAsia" w:ascii="宋体" w:hAnsi="宋体" w:eastAsia="宋体" w:cs="宋体"/>
                <w:color w:val="auto"/>
                <w:sz w:val="21"/>
                <w:szCs w:val="21"/>
                <w:highlight w:val="none"/>
              </w:rPr>
              <w:t>下进行显示；</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19.3、</w:t>
            </w:r>
            <w:r>
              <w:rPr>
                <w:rFonts w:hint="eastAsia" w:ascii="宋体" w:hAnsi="宋体" w:eastAsia="宋体" w:cs="宋体"/>
                <w:color w:val="auto"/>
                <w:sz w:val="21"/>
                <w:szCs w:val="21"/>
                <w:highlight w:val="none"/>
              </w:rPr>
              <w:t>在位状态：显示枪支在位、</w:t>
            </w:r>
            <w:r>
              <w:rPr>
                <w:rFonts w:hint="eastAsia" w:ascii="宋体" w:hAnsi="宋体" w:eastAsia="宋体" w:cs="宋体"/>
                <w:color w:val="auto"/>
                <w:sz w:val="21"/>
                <w:szCs w:val="21"/>
                <w:highlight w:val="none"/>
                <w:lang w:val="en-US" w:eastAsia="zh-CN"/>
              </w:rPr>
              <w:t>领</w:t>
            </w:r>
            <w:r>
              <w:rPr>
                <w:rFonts w:hint="eastAsia" w:ascii="宋体" w:hAnsi="宋体" w:eastAsia="宋体" w:cs="宋体"/>
                <w:color w:val="auto"/>
                <w:sz w:val="21"/>
                <w:szCs w:val="21"/>
                <w:highlight w:val="none"/>
              </w:rPr>
              <w:t>出、异常的数据；</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19.4、</w:t>
            </w:r>
            <w:r>
              <w:rPr>
                <w:rFonts w:hint="eastAsia" w:ascii="宋体" w:hAnsi="宋体" w:eastAsia="宋体" w:cs="宋体"/>
                <w:color w:val="auto"/>
                <w:sz w:val="21"/>
                <w:szCs w:val="21"/>
                <w:highlight w:val="none"/>
              </w:rPr>
              <w:t>终端设置：最大限度的方便设备的日常维护</w:t>
            </w:r>
            <w:r>
              <w:rPr>
                <w:rFonts w:hint="eastAsia" w:ascii="宋体" w:hAnsi="宋体" w:eastAsia="宋体" w:cs="宋体"/>
                <w:color w:val="auto"/>
                <w:sz w:val="21"/>
                <w:szCs w:val="21"/>
                <w:highlight w:val="none"/>
                <w:lang w:eastAsia="zh-CN"/>
              </w:rPr>
              <w:t>。</w:t>
            </w:r>
          </w:p>
          <w:p>
            <w:pPr>
              <w:pStyle w:val="76"/>
              <w:numPr>
                <w:ilvl w:val="0"/>
                <w:numId w:val="0"/>
              </w:numPr>
              <w:spacing w:line="240" w:lineRule="auto"/>
              <w:rPr>
                <w:rFonts w:hint="eastAsia"/>
                <w:color w:val="auto"/>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kern w:val="0"/>
                <w:sz w:val="21"/>
                <w:szCs w:val="21"/>
                <w:highlight w:val="none"/>
                <w:lang w:val="en-US" w:eastAsia="zh-CN" w:bidi="ar-SA"/>
              </w:rPr>
              <w:t>、枪弹领用轨迹查看功能：可通过智能柜（架）查看每支枪支单独的使用记录，包括使用人员、审批人员、领用时间和归还时间。</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▲21、信息上传显示功能：可在服务器上给智能柜处于在线/离线的状态指示，并能在服务器上将智能柜上传的枪支/弹药领取/归还信息、枪支在位总数、弹药总数、报警信息等进行显示。</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断网续传功能：将智能柜与服务器之间连接的网线断开，智能柜可将日志记录信息存储至本机中。当网络恢复正常后，可将断网期间产生的报警记录、枪支领取/归还记录等日志记录信息上传至服务器平台软件。</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bidi="ar-SA"/>
              </w:rPr>
              <w:t>、下列情况发生时,智能柜应能及时报警</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a.当非正常开启时；</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b.非正常领取枪支弹药；</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c.枪支/弹药未按时归还；</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d.柜门超时未锁闭；</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e.智能柜断电；</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f.备用方式开启柜门。</w:t>
            </w:r>
          </w:p>
          <w:p>
            <w:pPr>
              <w:rPr>
                <w:rFonts w:hint="default"/>
                <w:color w:val="auto"/>
                <w:highlight w:val="none"/>
                <w:lang w:val="en-US" w:eastAsia="zh-CN"/>
              </w:rPr>
            </w:pPr>
            <w:r>
              <w:rPr>
                <w:rFonts w:hint="eastAsia"/>
                <w:color w:val="auto"/>
                <w:highlight w:val="none"/>
                <w:lang w:val="en-US" w:eastAsia="zh-CN"/>
              </w:rPr>
              <w:t>g.</w:t>
            </w:r>
            <w:r>
              <w:rPr>
                <w:rFonts w:hint="eastAsia" w:ascii="宋体" w:hAnsi="宋体" w:eastAsia="宋体" w:cs="宋体"/>
                <w:color w:val="auto"/>
                <w:kern w:val="0"/>
                <w:szCs w:val="21"/>
                <w:highlight w:val="none"/>
                <w:lang w:val="en-US" w:eastAsia="zh-CN"/>
              </w:rPr>
              <w:t>子弹非法出入库。</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24.1、智能柜报警时应能启动现场声光报警器。网络连接状态下应具备远程报警功能；现场报警器启动后，应仅允许具备权限的管理人员解除报警。</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24.2、当智能柜内置振动传感器被触发、显示屏防拆开关被触发或样机网线断开后，应能报警；解除报警后，可弹出对话框，并给出语音。</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bidi="ar-SA"/>
              </w:rPr>
              <w:t>24.振动报警器具备如下功能：</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a.灵敏度设置功能：在控制软件设置界面可以设置报警等级，最多可以设置 8 个等级，并且可以自定义设置每个报警等级对应的灵敏度，可设置范围0~8。</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b.冲击加速度测量功能：振动探测器能检测到振动、敲击等信号，并在控制软件显示最大冲击加速度值。</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c.电源检验：电源电压在标称值的85%~110%的范围内，探测器应不需调整而能正常工作。</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d.恒定湿热：(40+2) C，RH(93)%，48h，试验后样品应能正常工作。</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e.振动试验：10Hz~55Hz、振幅 0.35mm、每一轴向循环扫频 3 次，每次时间 5min，试验后样品应能正常工作。</w:t>
            </w:r>
          </w:p>
          <w:p>
            <w:pPr>
              <w:pStyle w:val="2"/>
              <w:spacing w:line="240" w:lineRule="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f.耐久性：振动探测器在额定电压下进行报警和复位，循环 50 次应无电的或机械的故障也不应有器件损伤和触点失常。</w:t>
            </w:r>
          </w:p>
          <w:p>
            <w:pPr>
              <w:pStyle w:val="31"/>
              <w:numPr>
                <w:ilvl w:val="0"/>
                <w:numId w:val="0"/>
              </w:numPr>
              <w:spacing w:line="240" w:lineRule="auto"/>
              <w:ind w:leftChars="0"/>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w:t>
            </w:r>
            <w:r>
              <w:rPr>
                <w:rFonts w:hint="eastAsia" w:ascii="宋体" w:hAnsi="宋体" w:eastAsia="宋体" w:cs="宋体"/>
                <w:b w:val="0"/>
                <w:bCs w:val="0"/>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rPr>
              <w:t>指纹验证错误报</w:t>
            </w:r>
            <w:r>
              <w:rPr>
                <w:rFonts w:hint="eastAsia" w:ascii="宋体" w:hAnsi="宋体" w:eastAsia="宋体" w:cs="宋体"/>
                <w:b w:val="0"/>
                <w:bCs w:val="0"/>
                <w:color w:val="auto"/>
                <w:sz w:val="21"/>
                <w:szCs w:val="21"/>
                <w:highlight w:val="none"/>
                <w:lang w:val="en-US" w:eastAsia="zh-CN" w:bidi="ar-SA"/>
              </w:rPr>
              <w:t>警功能：当使用未授权的指纹在5min内连续验证3次且均不通</w:t>
            </w:r>
            <w:r>
              <w:rPr>
                <w:rFonts w:hint="eastAsia" w:ascii="宋体" w:hAnsi="宋体" w:eastAsia="宋体" w:cs="宋体"/>
                <w:color w:val="auto"/>
                <w:spacing w:val="0"/>
                <w:kern w:val="0"/>
                <w:sz w:val="21"/>
                <w:szCs w:val="21"/>
                <w:highlight w:val="none"/>
                <w:lang w:val="en-US" w:eastAsia="zh-CN" w:bidi="ar-SA"/>
              </w:rPr>
              <w:t>过时，应能给出报警提示，同时应自动进入指纹模块无效输入状态，且无效输入状态应至少保持90s。</w:t>
            </w:r>
          </w:p>
          <w:p>
            <w:pPr>
              <w:pStyle w:val="2"/>
              <w:spacing w:line="240" w:lineRule="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▲26、报警抓拍图片功能：领用枪支/弹药或有报警产生后，智能柜内置摄像头应能自动进行抓拍图片，查看日志记录时可显示相应的抓拍图片，抓拍图片分辨率(像素数)为1920X1080。</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▲27、联网功能：应具备远程联网能力；智能柜联网运行时，应能上传运行信息（操作信息、异常信息等）和枪支/弹药状态信息到联网管理平台。</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▲28、校时要求检验：未联网运行的智能柜应具备手动校时功能；联网运行的智能柜应具备自动校时功能，时钟与北京时间的偏差应小于或等于10s。</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▲29、电源要求：</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具备交流电源和备用电源互备供电模式，当交流电源断电时，能自动转换为备用电源工作，当转入备用电源工作时有指示;当交流电源恢复后，能自动转换到交流电源工作；2)当交流电源在额定电压的85%-110%范围内变化时，智能枪弹库门不需调整能正常工作;当备用电源(DC)电压在额定值的 90%~110%范围内变化时，智能枪弹库门能正常工作;</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3)交流电源能自动对备用电源充电。备用电源(DC)电压降低至额定终止值时，有保护措施,备用电源固定安装在枪弹库内部;</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4)交流电源断电时，备用电源支持连续工作8h时段内能支持8次的正常操作。</w:t>
            </w:r>
          </w:p>
          <w:p>
            <w:pPr>
              <w:numPr>
                <w:ilvl w:val="0"/>
                <w:numId w:val="0"/>
              </w:numPr>
              <w:spacing w:line="240" w:lineRule="auto"/>
              <w:ind w:leftChars="0"/>
              <w:rPr>
                <w:rFonts w:hint="eastAsia" w:ascii="宋体" w:hAnsi="宋体" w:eastAsia="宋体" w:cs="宋体"/>
                <w:color w:val="auto"/>
                <w:sz w:val="21"/>
                <w:szCs w:val="21"/>
                <w:highlight w:val="none"/>
                <w:lang w:eastAsia="zh-CN"/>
              </w:rPr>
            </w:pPr>
            <w:r>
              <w:rPr>
                <w:rFonts w:hint="eastAsia" w:ascii="宋体" w:hAnsi="宋体" w:cs="宋体"/>
                <w:color w:val="auto"/>
                <w:highlight w:val="none"/>
                <w:lang w:val="en-US" w:eastAsia="zh-CN"/>
              </w:rPr>
              <w:t>5）交流电源接口应安装早相对隐蔽的位置，并且备锁止装置。</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30、电控防盗锁具</w:t>
            </w:r>
            <w:r>
              <w:rPr>
                <w:rFonts w:hint="eastAsia" w:ascii="宋体" w:hAnsi="宋体" w:eastAsia="宋体" w:cs="宋体"/>
                <w:color w:val="auto"/>
                <w:kern w:val="0"/>
                <w:sz w:val="21"/>
                <w:szCs w:val="21"/>
                <w:highlight w:val="none"/>
                <w:lang w:val="en-US" w:eastAsia="zh-CN" w:bidi="ar-SA"/>
              </w:rPr>
              <w:tab/>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30.1、智能柜上配置的电控防盗锁具应符合下列要求：</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a.锁具电源电压不大于DC24V；</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b.启闭瞬间冲击电流不大于5A、持续通电电流不大于500mA；</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c.开锁响应时间不大于2s；</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d.连续通电7s不应损坏；</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e.外壳温度不大于65℃。</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30.2、电控防盗锁具在断电时应保持锁闭状态；</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30.3、电控防盗锁具的锁体不能直接接触枪支/弹药，应有隔离措施；</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30.4、智能柜上配置的所有电控防盗锁具应有各自独立的备用开启方式。</w:t>
            </w:r>
          </w:p>
          <w:p>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31、应急开启要求：在紧急情况下，应能由两人通过特定授权指令一次性开启所有电控锁具。</w:t>
            </w:r>
            <w:r>
              <w:rPr>
                <w:rFonts w:hint="eastAsia" w:ascii="宋体" w:hAnsi="宋体" w:eastAsia="宋体" w:cs="宋体"/>
                <w:color w:val="auto"/>
                <w:kern w:val="0"/>
                <w:sz w:val="21"/>
                <w:szCs w:val="21"/>
                <w:highlight w:val="none"/>
                <w:lang w:val="en-US" w:eastAsia="zh-CN" w:bidi="ar-SA"/>
              </w:rPr>
              <w:t xml:space="preserve"> </w:t>
            </w:r>
          </w:p>
          <w:p>
            <w:pPr>
              <w:pStyle w:val="12"/>
              <w:numPr>
                <w:ilvl w:val="0"/>
                <w:numId w:val="0"/>
              </w:numPr>
              <w:spacing w:line="240" w:lineRule="auto"/>
              <w:ind w:lef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kern w:val="0"/>
                <w:sz w:val="21"/>
                <w:szCs w:val="21"/>
                <w:highlight w:val="none"/>
                <w:lang w:val="en-US" w:eastAsia="zh-CN" w:bidi="ar-SA"/>
              </w:rPr>
              <w:t>、快速切换用户：多个用户排队领取枪支时，不需要返回主界面，直接在枪支领取界面点击下一位用户，身份验证通过后，第二位用户选择要领用的枪支，无需领导再次审批，实现快速领取枪支。每个用户的枪支领取操作均生成对应的枪支领取日志，同时上传至管理平台。</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33、实时</w:t>
            </w:r>
            <w:r>
              <w:rPr>
                <w:rFonts w:hint="eastAsia" w:ascii="宋体" w:hAnsi="宋体" w:eastAsia="宋体" w:cs="宋体"/>
                <w:color w:val="auto"/>
                <w:sz w:val="21"/>
                <w:szCs w:val="21"/>
                <w:highlight w:val="none"/>
              </w:rPr>
              <w:t>对讲功能：可以在枪弹柜控制系统主界面点击对讲按钮与管理平台进行实时对讲，支持视频和音频同步对讲。</w:t>
            </w:r>
          </w:p>
          <w:p>
            <w:pPr>
              <w:pStyle w:val="2"/>
              <w:spacing w:line="240" w:lineRule="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、柜体内部自带语音提示模块，在操作过程中提供全程语音提示。</w:t>
            </w:r>
          </w:p>
          <w:p>
            <w:pPr>
              <w:keepNext w:val="0"/>
              <w:keepLines w:val="0"/>
              <w:pageBreakBefore w:val="0"/>
              <w:widowControl/>
              <w:kinsoku/>
              <w:wordWrap/>
              <w:overflowPunct/>
              <w:topLinePunct w:val="0"/>
              <w:bidi w:val="0"/>
              <w:snapToGrid/>
              <w:spacing w:line="240" w:lineRule="auto"/>
              <w:jc w:val="left"/>
              <w:textAlignment w:val="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可在触摸屏上对智能柜的IP地址、子网掩码、网关等参数进行设置，智能柜与服务器的IP地址设置为同一网段时，智能柜与服务器之间应能正常通信，并通过网络将智能柜的操作信息、报警信息及采集的视频图像上传至服务器，智能柜内不应设有路由器或网络交换机。</w:t>
            </w:r>
          </w:p>
          <w:p>
            <w:pPr>
              <w:keepNext w:val="0"/>
              <w:keepLines w:val="0"/>
              <w:pageBreakBefore w:val="0"/>
              <w:widowControl/>
              <w:kinsoku/>
              <w:wordWrap/>
              <w:overflowPunct/>
              <w:topLinePunct w:val="0"/>
              <w:bidi w:val="0"/>
              <w:snapToGrid/>
              <w:spacing w:line="240" w:lineRule="auto"/>
              <w:jc w:val="left"/>
              <w:textAlignment w:val="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▲36、故障诊断功能：</w:t>
            </w:r>
            <w:r>
              <w:rPr>
                <w:rFonts w:hint="eastAsia" w:ascii="宋体" w:hAnsi="宋体" w:eastAsia="宋体" w:cs="宋体"/>
                <w:color w:val="auto"/>
                <w:kern w:val="0"/>
                <w:sz w:val="21"/>
                <w:szCs w:val="21"/>
                <w:highlight w:val="none"/>
                <w:lang w:val="en-US" w:eastAsia="zh-CN" w:bidi="ar"/>
              </w:rPr>
              <w:t>具有管理权限的人员可通过触摸显示屏对摄像头，指纹模块，枪锁，子弹抽屉进行故障诊断。所有记录的运行信息能通过数据接口（USB接口、网络接口等）下载。</w:t>
            </w:r>
          </w:p>
          <w:p>
            <w:pPr>
              <w:pStyle w:val="2"/>
              <w:widowControl w:val="0"/>
              <w:numPr>
                <w:ilvl w:val="0"/>
                <w:numId w:val="0"/>
              </w:numPr>
              <w:spacing w:line="240" w:lineRule="auto"/>
              <w:ind w:leftChars="0"/>
              <w:jc w:val="both"/>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▲37、</w:t>
            </w:r>
            <w:r>
              <w:rPr>
                <w:rFonts w:hint="eastAsia"/>
                <w:color w:val="auto"/>
                <w:highlight w:val="none"/>
                <w:lang w:val="en-US" w:eastAsia="zh-CN"/>
              </w:rPr>
              <w:t>枪锁</w:t>
            </w:r>
          </w:p>
          <w:p>
            <w:pPr>
              <w:pStyle w:val="3"/>
              <w:numPr>
                <w:ilvl w:val="0"/>
                <w:numId w:val="0"/>
              </w:numPr>
              <w:spacing w:line="240" w:lineRule="auto"/>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kern w:val="2"/>
                <w:sz w:val="21"/>
                <w:szCs w:val="21"/>
                <w:highlight w:val="none"/>
                <w:lang w:val="en-US" w:eastAsia="zh-CN" w:bidi="ar-SA"/>
              </w:rPr>
              <w:t>.1、枪锁启闭寿命试验：枪锁经220000次启闭循环后应能正常使用。</w:t>
            </w:r>
          </w:p>
          <w:p>
            <w:pPr>
              <w:pStyle w:val="3"/>
              <w:numPr>
                <w:ilvl w:val="0"/>
                <w:numId w:val="0"/>
              </w:numPr>
              <w:spacing w:line="240" w:lineRule="auto"/>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kern w:val="2"/>
                <w:sz w:val="21"/>
                <w:szCs w:val="21"/>
                <w:highlight w:val="none"/>
                <w:lang w:val="en-US" w:eastAsia="zh-CN" w:bidi="ar-SA"/>
              </w:rPr>
              <w:t>.2、控制功能检验：输入开锁控制信号后，枪锁应自动开启；枪支放置到位后，锁舌被压下，锁钩应自动伸出锁定枪支，遇有障碍物或位置有偏差情况下，锁钩自动回弹。</w:t>
            </w:r>
          </w:p>
          <w:p>
            <w:pPr>
              <w:pStyle w:val="3"/>
              <w:numPr>
                <w:ilvl w:val="0"/>
                <w:numId w:val="0"/>
              </w:numPr>
              <w:spacing w:line="240" w:lineRule="auto"/>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kern w:val="2"/>
                <w:sz w:val="21"/>
                <w:szCs w:val="21"/>
                <w:highlight w:val="none"/>
                <w:lang w:val="en-US" w:eastAsia="zh-CN" w:bidi="ar-SA"/>
              </w:rPr>
              <w:t>.3、应急开启记录检验：枪锁在断电情况下机械钥匙开启应记录开启次数及时间。</w:t>
            </w:r>
          </w:p>
          <w:p>
            <w:pPr>
              <w:pStyle w:val="3"/>
              <w:numPr>
                <w:ilvl w:val="0"/>
                <w:numId w:val="0"/>
              </w:numPr>
              <w:spacing w:line="240" w:lineRule="auto"/>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kern w:val="2"/>
                <w:sz w:val="21"/>
                <w:szCs w:val="21"/>
                <w:highlight w:val="none"/>
                <w:lang w:val="en-US" w:eastAsia="zh-CN" w:bidi="ar-SA"/>
              </w:rPr>
              <w:t>.4、开锁响应时间检验：枪锁由输入开锁控制信号至执行开锁工作的响应时间应不大于0.5s。</w:t>
            </w:r>
          </w:p>
          <w:p>
            <w:pPr>
              <w:pStyle w:val="3"/>
              <w:numPr>
                <w:ilvl w:val="0"/>
                <w:numId w:val="0"/>
              </w:numPr>
              <w:spacing w:line="240" w:lineRule="auto"/>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kern w:val="2"/>
                <w:sz w:val="21"/>
                <w:szCs w:val="21"/>
                <w:highlight w:val="none"/>
                <w:lang w:val="en-US" w:eastAsia="zh-CN" w:bidi="ar-SA"/>
              </w:rPr>
              <w:t>.5、指示灯功能检验：枪锁内置指示灯，枪支在位时为绿色，枪支不在位时为红色；取枪/还枪过程中，相对应的枪锁指示灯红绿色交替闪烁提示。</w:t>
            </w:r>
          </w:p>
          <w:p>
            <w:pPr>
              <w:pStyle w:val="3"/>
              <w:numPr>
                <w:ilvl w:val="0"/>
                <w:numId w:val="0"/>
              </w:numPr>
              <w:spacing w:line="240" w:lineRule="auto"/>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kern w:val="2"/>
                <w:sz w:val="21"/>
                <w:szCs w:val="21"/>
                <w:highlight w:val="none"/>
                <w:lang w:val="en-US" w:eastAsia="zh-CN" w:bidi="ar-SA"/>
              </w:rPr>
              <w:t>.6、锁钩抗拉检验：锁钩正向承受200N的拉力10分钟，停止受力后锁钩仍可正常运转。</w:t>
            </w:r>
          </w:p>
          <w:p>
            <w:pPr>
              <w:pStyle w:val="3"/>
              <w:numPr>
                <w:ilvl w:val="0"/>
                <w:numId w:val="0"/>
              </w:numPr>
              <w:spacing w:line="240" w:lineRule="auto"/>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kern w:val="2"/>
                <w:sz w:val="21"/>
                <w:szCs w:val="21"/>
                <w:highlight w:val="none"/>
                <w:lang w:val="en-US" w:eastAsia="zh-CN" w:bidi="ar-SA"/>
              </w:rPr>
              <w:t>.7、盐雾试验：盐雾测试连续喷雾12h表面无腐蚀点。</w:t>
            </w:r>
          </w:p>
          <w:p>
            <w:pPr>
              <w:pStyle w:val="2"/>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38、</w:t>
            </w:r>
            <w:r>
              <w:rPr>
                <w:rFonts w:hint="eastAsia" w:ascii="宋体" w:hAnsi="宋体" w:eastAsia="宋体" w:cs="宋体"/>
                <w:color w:val="auto"/>
                <w:kern w:val="0"/>
                <w:sz w:val="21"/>
                <w:szCs w:val="21"/>
                <w:highlight w:val="none"/>
                <w:lang w:val="en-US" w:eastAsia="zh-CN" w:bidi="ar-SA"/>
              </w:rPr>
              <w:t>枪锁断线提示功能：当枪锁与智能柜主控单元的连接线断开，应能在触摸式液晶显示屏上给出相应的提示，自动产生枪位故障报警并生成报警日志。</w:t>
            </w:r>
          </w:p>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39</w:t>
            </w:r>
            <w:r>
              <w:rPr>
                <w:rFonts w:hint="default"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枪锁未锁闭提醒</w:t>
            </w:r>
            <w:r>
              <w:rPr>
                <w:rFonts w:hint="default" w:ascii="宋体" w:hAnsi="宋体" w:eastAsia="宋体" w:cs="宋体"/>
                <w:color w:val="auto"/>
                <w:sz w:val="21"/>
                <w:szCs w:val="21"/>
                <w:highlight w:val="none"/>
                <w:lang w:val="en-US" w:eastAsia="zh-CN"/>
              </w:rPr>
              <w:t>功能：当锁舌检测到枪支在位，但是枪锁锁钩未锁闭时，终端应有弹窗提示</w:t>
            </w:r>
            <w:r>
              <w:rPr>
                <w:rFonts w:hint="eastAsia" w:ascii="宋体" w:hAnsi="宋体" w:eastAsia="宋体" w:cs="宋体"/>
                <w:color w:val="auto"/>
                <w:sz w:val="21"/>
                <w:szCs w:val="21"/>
                <w:highlight w:val="none"/>
                <w:lang w:val="en-US" w:eastAsia="zh-CN"/>
              </w:rPr>
              <w:t>。</w:t>
            </w:r>
          </w:p>
          <w:p>
            <w:pPr>
              <w:pStyle w:val="2"/>
              <w:widowControl w:val="0"/>
              <w:numPr>
                <w:ilvl w:val="0"/>
                <w:numId w:val="0"/>
              </w:numPr>
              <w:spacing w:line="240" w:lineRule="auto"/>
              <w:ind w:lef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kern w:val="2"/>
                <w:sz w:val="21"/>
                <w:szCs w:val="21"/>
                <w:highlight w:val="none"/>
                <w:lang w:val="en-US" w:eastAsia="zh-CN" w:bidi="ar-SA"/>
              </w:rPr>
              <w:t>长枪枪托调节功能：长枪枪托应能适配多种长枪枪型，枪锁可进行上下调节。</w:t>
            </w:r>
          </w:p>
          <w:p>
            <w:pPr>
              <w:pStyle w:val="2"/>
              <w:widowControl w:val="0"/>
              <w:numPr>
                <w:ilvl w:val="0"/>
                <w:numId w:val="0"/>
              </w:numPr>
              <w:spacing w:line="240" w:lineRule="auto"/>
              <w:ind w:lef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kern w:val="2"/>
                <w:sz w:val="21"/>
                <w:szCs w:val="21"/>
                <w:highlight w:val="none"/>
                <w:lang w:val="en-US" w:eastAsia="zh-CN" w:bidi="ar-SA"/>
              </w:rPr>
              <w:t>手枪枪托调节功能：手枪枪托可左右/上下调节，应能适配多种手枪枪型，不同枪型放置后枪管应能保持水平。</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42、申请枪支数量功能：智能柜可申请领取权限内单支、多支或全部数量的枪支。 </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43、智能子弹计数抽屉</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43.1、负载检验：承载不大于15.0kg的均布载荷，智能子弹计数抽屉应能正常启闭。</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43.2、启闭控制功能检验：智能子弹计数抽屉收到控制系统发出的开锁指令后应自动弹出。直接对智能子弹计数抽屉通电不应开启，闭锁的智能子弹计数抽屉断电后应保持锁闭状态。</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43.3、存放子弹数量检验：存放1951年式7.62mm手枪弹（铅心）数量应不少于1000发。</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43.4、领取子弹提示检验：子弹计数抽屉显示屏可实时显示子弹数量，当子弹计数抽屉打开时应具有显示屏闪烁提示功能，显示屏应能显示4位。</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43.5、抽屉承载5kg载荷，经50000次启闭循环后应能正常使用。</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43.6、子弹计数抽屉承载10kg以下重物时，其示数可读性为1g。</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43.7、应能遵照系统指令信息对子弹种类、数量的要求进行发放。</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43.8、盐雾测试连续喷雾12h表面无腐蚀点。</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44、子弹抽屉：可根据不同类型弹药进行校准、子弹余量计数，抽屉集成高精度称重传感器，线性达到万分之一称重重量达到20kg；采用4位数码管显示子弹余量；弹仓打开时数码管闪烁提醒用户。</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45、子弹称重托盘：弹抽内部采用上下两片铝板一体压铸成型，加上称重传感器，整体称重模块。</w:t>
            </w:r>
          </w:p>
          <w:p>
            <w:pPr>
              <w:pStyle w:val="76"/>
              <w:numPr>
                <w:ilvl w:val="0"/>
                <w:numId w:val="0"/>
              </w:num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▲47</w:t>
            </w:r>
            <w:r>
              <w:rPr>
                <w:rFonts w:hint="eastAsia" w:ascii="宋体" w:hAnsi="宋体" w:eastAsia="宋体" w:cs="宋体"/>
                <w:color w:val="auto"/>
                <w:kern w:val="0"/>
                <w:sz w:val="21"/>
                <w:szCs w:val="21"/>
                <w:highlight w:val="none"/>
                <w:lang w:val="en-US" w:eastAsia="zh-CN" w:bidi="ar-SA"/>
              </w:rPr>
              <w:t>、智能枪弹柜控制系统符合《GB 35114-2017公共安全视频监控联网信息安全技术要求》。</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48、智能枪弹柜控制系统符合GB/T28181-2016《公共安全视频监控联网系统信息传输、交换、控制技术要求》。</w:t>
            </w:r>
          </w:p>
          <w:p>
            <w:pPr>
              <w:pStyle w:val="2"/>
              <w:widowControl w:val="0"/>
              <w:numPr>
                <w:ilvl w:val="0"/>
                <w:numId w:val="0"/>
              </w:numPr>
              <w:wordWrap/>
              <w:adjustRightInd/>
              <w:snapToGrid/>
              <w:spacing w:line="240" w:lineRule="auto"/>
              <w:jc w:val="left"/>
              <w:textAlignment w:val="auto"/>
              <w:rPr>
                <w:rFonts w:hint="eastAsia" w:ascii="宋体" w:hAnsi="宋体" w:eastAsia="宋体" w:cs="宋体"/>
                <w:color w:val="auto"/>
                <w:kern w:val="2"/>
                <w:sz w:val="21"/>
                <w:szCs w:val="24"/>
                <w:highlight w:val="none"/>
                <w:lang w:val="en-US" w:eastAsia="zh-CN" w:bidi="ar-SA"/>
              </w:rPr>
            </w:pPr>
            <w:r>
              <w:rPr>
                <w:rFonts w:hint="eastAsia"/>
                <w:color w:val="auto"/>
                <w:lang w:val="en-US" w:eastAsia="zh-CN"/>
              </w:rPr>
              <w:t>注“▲”项目参数须提供国家安全防范报警系统产品质量监督检验中心或公安部特种警用装备质量监督检验中心出具的检测报告或提供国家密码局商用密码产品型号证明佐证材料；且在报告和证明材料中必须有功能检测合格的描述。</w:t>
            </w:r>
            <w:r>
              <w:rPr>
                <w:rFonts w:hint="eastAsia" w:ascii="宋体" w:hAnsi="宋体" w:eastAsia="宋体" w:cs="宋体"/>
                <w:color w:val="auto"/>
                <w:sz w:val="21"/>
                <w:szCs w:val="21"/>
              </w:rPr>
              <w:t>(提供复印件加盖公章，且需提供制造商出具的加盖制造商公章的授权书)</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712" w:type="dxa"/>
            <w:gridSpan w:val="3"/>
            <w:vAlign w:val="center"/>
          </w:tcPr>
          <w:p>
            <w:pPr>
              <w:widowControl/>
              <w:numPr>
                <w:ilvl w:val="0"/>
                <w:numId w:val="0"/>
              </w:numPr>
              <w:wordWrap/>
              <w:snapToGrid/>
              <w:spacing w:line="240" w:lineRule="auto"/>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sz w:val="21"/>
                <w:szCs w:val="21"/>
                <w:highlight w:val="none"/>
                <w:lang w:val="en-US" w:eastAsia="zh-CN"/>
              </w:rPr>
              <w:t>二、</w:t>
            </w:r>
            <w:r>
              <w:rPr>
                <w:rFonts w:hint="eastAsia" w:ascii="宋体" w:hAnsi="宋体" w:eastAsia="宋体" w:cs="宋体"/>
                <w:b/>
                <w:bCs/>
                <w:sz w:val="21"/>
                <w:szCs w:val="21"/>
                <w:highlight w:val="none"/>
                <w:lang w:eastAsia="zh-CN"/>
              </w:rPr>
              <w:t>枪弹库一体化管理平台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wordWrap/>
              <w:snapToGrid/>
              <w:spacing w:line="24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2"/>
                <w:sz w:val="21"/>
                <w:szCs w:val="21"/>
                <w:highlight w:val="none"/>
                <w:lang w:val="en-US" w:eastAsia="zh-CN" w:bidi="ar-SA"/>
              </w:rPr>
              <w:t>1</w:t>
            </w:r>
          </w:p>
        </w:tc>
        <w:tc>
          <w:tcPr>
            <w:tcW w:w="1292" w:type="dxa"/>
            <w:vAlign w:val="center"/>
          </w:tcPr>
          <w:p>
            <w:pPr>
              <w:widowControl/>
              <w:wordWrap/>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000000"/>
                <w:kern w:val="0"/>
                <w:sz w:val="21"/>
                <w:szCs w:val="21"/>
                <w:highlight w:val="none"/>
              </w:rPr>
              <w:t>智能枪弹柜管理系统（含平台软件）</w:t>
            </w:r>
          </w:p>
        </w:tc>
        <w:tc>
          <w:tcPr>
            <w:tcW w:w="7706" w:type="dxa"/>
            <w:vAlign w:val="top"/>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智能枪（弹）柜管理系统必须具有完整的网络管理模式，实现与公安网、全国枪支信息管理系统、厅局指挥中心或装备管理等系统对接，与全国枪支管理信息系统联网运行时，应能将指定信息上传。联网要求符合公安部GA1051-2013《枪支弹药专用保险柜》标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2、登录功能：用户通过分配的用户名和密码登录管理平台。</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3、密码管理功能：具有密码重置和密码初始化功能。</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、管理平台支持组织管理、角色管理、人员管理等功能。</w:t>
            </w:r>
          </w:p>
          <w:p>
            <w:pPr>
              <w:pStyle w:val="31"/>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用户管理功能：可在平台端上添加、删除、修改用户，并能将用户信息下发至智能柜；也可在智能柜上添加、删除、修改用户，并能将用户信息上传至服务器，可手动调整用户信息的显示顺序；支持分级权限管理功能。</w:t>
            </w:r>
          </w:p>
          <w:p>
            <w:pPr>
              <w:pStyle w:val="31"/>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6、组织机构管理：可在平台新增机构，修改机构，删除机构，机构名称树形展现。</w:t>
            </w:r>
          </w:p>
          <w:p>
            <w:pPr>
              <w:pStyle w:val="31"/>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7、人员权限管理：能以树状图形式清晰地展现出各用户之间的上下级从属关系，上一级部门的管理员可以查看和修改下一级的部门，下一级部门的人员不可以逆向访问上一级。</w:t>
            </w:r>
          </w:p>
          <w:p>
            <w:pPr>
              <w:pStyle w:val="31"/>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8、终端管理功能：可在平台添加、删除和修改所属机构的终端，针对在线终端，可以通过管理平台查看该终端当前状态，如CPU、内存、终端控制软件版本等。</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8.1</w:t>
            </w:r>
            <w:r>
              <w:rPr>
                <w:rFonts w:hint="eastAsia" w:ascii="宋体" w:hAnsi="宋体" w:eastAsia="宋体" w:cs="宋体"/>
                <w:sz w:val="21"/>
                <w:szCs w:val="21"/>
                <w:highlight w:val="none"/>
              </w:rPr>
              <w:t>、支持</w:t>
            </w:r>
            <w:r>
              <w:rPr>
                <w:rFonts w:hint="eastAsia" w:ascii="宋体" w:hAnsi="宋体" w:eastAsia="宋体" w:cs="宋体"/>
                <w:sz w:val="21"/>
                <w:szCs w:val="21"/>
                <w:highlight w:val="none"/>
                <w:lang w:val="en-US" w:eastAsia="zh-CN"/>
              </w:rPr>
              <w:t>维护所属终端的</w:t>
            </w:r>
            <w:r>
              <w:rPr>
                <w:rFonts w:hint="eastAsia" w:ascii="宋体" w:hAnsi="宋体" w:eastAsia="宋体" w:cs="宋体"/>
                <w:sz w:val="21"/>
                <w:szCs w:val="21"/>
                <w:highlight w:val="none"/>
              </w:rPr>
              <w:t>枪柜/弹柜</w:t>
            </w:r>
            <w:r>
              <w:rPr>
                <w:rFonts w:hint="eastAsia" w:ascii="宋体" w:hAnsi="宋体" w:eastAsia="宋体" w:cs="宋体"/>
                <w:sz w:val="21"/>
                <w:szCs w:val="21"/>
                <w:highlight w:val="none"/>
                <w:lang w:val="en-US" w:eastAsia="zh-CN"/>
              </w:rPr>
              <w:t>添加、删除和修改操作</w:t>
            </w:r>
            <w:r>
              <w:rPr>
                <w:rFonts w:hint="eastAsia" w:ascii="宋体" w:hAnsi="宋体" w:eastAsia="宋体" w:cs="宋体"/>
                <w:sz w:val="21"/>
                <w:szCs w:val="21"/>
                <w:highlight w:val="none"/>
              </w:rPr>
              <w:t>。</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支持维护所属柜体的枪位或弹仓，添加、删除和修改操作，及录入枪支子弹信息</w:t>
            </w:r>
            <w:r>
              <w:rPr>
                <w:rFonts w:hint="eastAsia" w:ascii="宋体" w:hAnsi="宋体" w:eastAsia="宋体" w:cs="宋体"/>
                <w:sz w:val="21"/>
                <w:szCs w:val="21"/>
                <w:highlight w:val="none"/>
              </w:rPr>
              <w:t>。</w:t>
            </w:r>
          </w:p>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9、</w:t>
            </w:r>
            <w:r>
              <w:rPr>
                <w:rFonts w:hint="eastAsia" w:ascii="宋体" w:hAnsi="宋体" w:eastAsia="宋体" w:cs="宋体"/>
                <w:color w:val="auto"/>
                <w:sz w:val="21"/>
                <w:szCs w:val="21"/>
                <w:highlight w:val="none"/>
              </w:rPr>
              <w:t>管理平台支持枪弹柜设置、枪弹柜升级，枪支弹药领用申请和审批，</w:t>
            </w:r>
            <w:r>
              <w:rPr>
                <w:rFonts w:hint="eastAsia" w:ascii="宋体" w:hAnsi="宋体" w:eastAsia="宋体" w:cs="宋体"/>
                <w:strike w:val="0"/>
                <w:dstrike w:val="0"/>
                <w:color w:val="auto"/>
                <w:sz w:val="21"/>
                <w:szCs w:val="21"/>
                <w:highlight w:val="none"/>
              </w:rPr>
              <w:t>枪支弹药归还申请和审批</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和领用的配置项区分开</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color w:val="auto"/>
                <w:sz w:val="21"/>
                <w:szCs w:val="21"/>
                <w:highlight w:val="none"/>
              </w:rPr>
              <w:t>，枪支保养的申请和审批，摄像机管理等功能</w:t>
            </w:r>
            <w:r>
              <w:rPr>
                <w:rFonts w:hint="eastAsia" w:ascii="宋体" w:hAnsi="宋体" w:eastAsia="宋体" w:cs="宋体"/>
                <w:color w:val="auto"/>
                <w:sz w:val="21"/>
                <w:szCs w:val="21"/>
                <w:highlight w:val="none"/>
                <w:lang w:eastAsia="zh-CN"/>
              </w:rPr>
              <w:t>。</w:t>
            </w:r>
          </w:p>
          <w:p>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r>
              <w:rPr>
                <w:rFonts w:hint="eastAsia" w:ascii="宋体" w:hAnsi="宋体" w:eastAsia="宋体" w:cs="宋体"/>
                <w:color w:val="auto"/>
                <w:sz w:val="21"/>
                <w:szCs w:val="21"/>
                <w:highlight w:val="none"/>
              </w:rPr>
              <w:t>保养提醒：枪支三个月中无任何领用记录需要给枪管员推送保养提醒</w:t>
            </w:r>
            <w:r>
              <w:rPr>
                <w:rFonts w:hint="eastAsia" w:ascii="宋体" w:hAnsi="宋体" w:eastAsia="宋体" w:cs="宋体"/>
                <w:color w:val="auto"/>
                <w:sz w:val="21"/>
                <w:szCs w:val="21"/>
                <w:highlight w:val="none"/>
                <w:lang w:eastAsia="zh-CN"/>
              </w:rPr>
              <w:t>。</w:t>
            </w:r>
          </w:p>
          <w:p>
            <w:pPr>
              <w:pStyle w:val="31"/>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lang w:val="en-US" w:eastAsia="zh-CN"/>
              </w:rPr>
              <w:t>、远程升级功能：可以在管理平台选择需要升级的终端设备和升级版本进行一键升级操作，并可添加、删除升级文件。</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、管理平台支持报警处理功能。</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用枪申请：</w:t>
            </w:r>
            <w:r>
              <w:rPr>
                <w:rFonts w:hint="eastAsia" w:ascii="宋体" w:hAnsi="宋体" w:eastAsia="宋体" w:cs="宋体"/>
                <w:sz w:val="21"/>
                <w:szCs w:val="21"/>
                <w:highlight w:val="none"/>
              </w:rPr>
              <w:t>用枪人可填写需要</w:t>
            </w:r>
            <w:r>
              <w:rPr>
                <w:rFonts w:hint="eastAsia" w:ascii="宋体" w:hAnsi="宋体" w:eastAsia="宋体" w:cs="宋体"/>
                <w:sz w:val="21"/>
                <w:szCs w:val="21"/>
                <w:highlight w:val="none"/>
                <w:lang w:val="en-US" w:eastAsia="zh-CN"/>
              </w:rPr>
              <w:t>领</w:t>
            </w:r>
            <w:r>
              <w:rPr>
                <w:rFonts w:hint="eastAsia" w:ascii="宋体" w:hAnsi="宋体" w:eastAsia="宋体" w:cs="宋体"/>
                <w:sz w:val="21"/>
                <w:szCs w:val="21"/>
                <w:highlight w:val="none"/>
              </w:rPr>
              <w:t>用的枪支和子弹数量提交到</w:t>
            </w:r>
            <w:r>
              <w:rPr>
                <w:rFonts w:hint="eastAsia" w:ascii="宋体" w:hAnsi="宋体" w:eastAsia="宋体" w:cs="宋体"/>
                <w:sz w:val="21"/>
                <w:szCs w:val="21"/>
                <w:highlight w:val="none"/>
                <w:lang w:val="en-US" w:eastAsia="zh-CN"/>
              </w:rPr>
              <w:t>所有</w:t>
            </w:r>
            <w:r>
              <w:rPr>
                <w:rFonts w:hint="eastAsia" w:ascii="宋体" w:hAnsi="宋体" w:eastAsia="宋体" w:cs="宋体"/>
                <w:sz w:val="21"/>
                <w:szCs w:val="21"/>
                <w:highlight w:val="none"/>
              </w:rPr>
              <w:t>领导审批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也可以设置直接审批人。</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用枪审批：</w:t>
            </w:r>
            <w:r>
              <w:rPr>
                <w:rFonts w:hint="eastAsia" w:ascii="宋体" w:hAnsi="宋体" w:eastAsia="宋体" w:cs="宋体"/>
                <w:sz w:val="21"/>
                <w:szCs w:val="21"/>
                <w:highlight w:val="none"/>
              </w:rPr>
              <w:t>领导对提交上来的用枪申请进行审批，审批最终通过后任务发送至枪柜，用枪人和管理员在枪柜端即可完成取枪（只可取出申请填写的枪支和子弹数量），此种取枪方式为“领导远程授权取枪”。</w:t>
            </w:r>
          </w:p>
          <w:p>
            <w:pPr>
              <w:spacing w:line="240" w:lineRule="auto"/>
              <w:rPr>
                <w:rFonts w:hint="eastAsia"/>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、支持网络连接摄像机第三方接口，对摄像机基本信息、实时状态进行监督管理。</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、对枪弹柜端的报警（如：震动等）设定是否进行设防，当有警情发生时，管理平台产生联动报警。</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、当管理平台监测到枪柜发生震动等报警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枪支</w:t>
            </w:r>
            <w:r>
              <w:rPr>
                <w:rFonts w:hint="eastAsia" w:ascii="宋体" w:hAnsi="宋体" w:eastAsia="宋体" w:cs="宋体"/>
                <w:sz w:val="21"/>
                <w:szCs w:val="21"/>
                <w:highlight w:val="none"/>
                <w:lang w:val="en-US" w:eastAsia="zh-CN"/>
              </w:rPr>
              <w:t>未在</w:t>
            </w:r>
            <w:r>
              <w:rPr>
                <w:rFonts w:hint="eastAsia" w:ascii="宋体" w:hAnsi="宋体" w:eastAsia="宋体" w:cs="宋体"/>
                <w:sz w:val="21"/>
                <w:szCs w:val="21"/>
                <w:highlight w:val="none"/>
              </w:rPr>
              <w:t>指定时间内归还</w:t>
            </w:r>
            <w:r>
              <w:rPr>
                <w:rFonts w:hint="eastAsia" w:ascii="宋体" w:hAnsi="宋体" w:eastAsia="宋体" w:cs="宋体"/>
                <w:sz w:val="21"/>
                <w:szCs w:val="21"/>
                <w:highlight w:val="none"/>
                <w:lang w:val="en-US" w:eastAsia="zh-CN"/>
              </w:rPr>
              <w:t>报警时</w:t>
            </w:r>
            <w:r>
              <w:rPr>
                <w:rFonts w:hint="eastAsia" w:ascii="宋体" w:hAnsi="宋体" w:eastAsia="宋体" w:cs="宋体"/>
                <w:sz w:val="21"/>
                <w:szCs w:val="21"/>
                <w:highlight w:val="none"/>
              </w:rPr>
              <w:t>，弹出提示窗口通知到监管人。</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、可通过平台软件对各种报警信息进行统计，并以柱状图、饼状图形显示统计结果。</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、管理平台支持枪支弹药出入</w:t>
            </w:r>
            <w:r>
              <w:rPr>
                <w:rFonts w:hint="eastAsia" w:ascii="宋体" w:hAnsi="宋体" w:eastAsia="宋体" w:cs="宋体"/>
                <w:color w:val="auto"/>
                <w:sz w:val="21"/>
                <w:szCs w:val="21"/>
                <w:highlight w:val="none"/>
                <w:lang w:val="en-US" w:eastAsia="zh-CN"/>
              </w:rPr>
              <w:t>库</w:t>
            </w:r>
            <w:r>
              <w:rPr>
                <w:rFonts w:hint="eastAsia" w:ascii="宋体" w:hAnsi="宋体" w:eastAsia="宋体" w:cs="宋体"/>
                <w:color w:val="auto"/>
                <w:sz w:val="21"/>
                <w:szCs w:val="21"/>
                <w:highlight w:val="none"/>
              </w:rPr>
              <w:t>管理，枪支弹药寄存管理，枪支弹药报废管理，枪支弹药调拨管理，日志查询等功能。</w:t>
            </w:r>
          </w:p>
          <w:p>
            <w:pPr>
              <w:pStyle w:val="31"/>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查询管辖范围内的枪支弹药使用情况，系统详细地记录了枪支弹药的取还信息、子弹消耗信息、领导授权信息、现场拍摄的图片信息和报警信息等，可通过“时间段”“枪支编号”“领用人”等关键字查询，并且可导出取还枪（弹）等记录。</w:t>
            </w:r>
          </w:p>
          <w:p>
            <w:pPr>
              <w:pStyle w:val="31"/>
              <w:numPr>
                <w:ilvl w:val="0"/>
                <w:numId w:val="0"/>
              </w:numPr>
              <w:spacing w:line="24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w:t>
            </w:r>
            <w:r>
              <w:rPr>
                <w:rFonts w:hint="eastAsia" w:ascii="宋体" w:hAnsi="宋体" w:eastAsia="宋体" w:cs="宋体"/>
                <w:strike w:val="0"/>
                <w:dstrike w:val="0"/>
                <w:sz w:val="21"/>
                <w:szCs w:val="21"/>
                <w:highlight w:val="none"/>
              </w:rPr>
              <w:t>外单位人员临时将枪支存放在本单位枪柜，需要</w:t>
            </w:r>
            <w:r>
              <w:rPr>
                <w:rFonts w:hint="eastAsia" w:ascii="宋体" w:hAnsi="宋体" w:eastAsia="宋体" w:cs="宋体"/>
                <w:strike w:val="0"/>
                <w:dstrike w:val="0"/>
                <w:sz w:val="21"/>
                <w:szCs w:val="21"/>
                <w:highlight w:val="none"/>
                <w:lang w:val="en-US" w:eastAsia="zh-CN"/>
              </w:rPr>
              <w:t>在管理平台</w:t>
            </w:r>
            <w:r>
              <w:rPr>
                <w:rFonts w:hint="eastAsia" w:ascii="宋体" w:hAnsi="宋体" w:eastAsia="宋体" w:cs="宋体"/>
                <w:strike w:val="0"/>
                <w:dstrike w:val="0"/>
                <w:sz w:val="21"/>
                <w:szCs w:val="21"/>
                <w:highlight w:val="none"/>
              </w:rPr>
              <w:t>填写相关信息，</w:t>
            </w:r>
            <w:r>
              <w:rPr>
                <w:rFonts w:hint="eastAsia" w:ascii="宋体" w:hAnsi="宋体" w:eastAsia="宋体" w:cs="宋体"/>
                <w:strike w:val="0"/>
                <w:dstrike w:val="0"/>
                <w:sz w:val="21"/>
                <w:szCs w:val="21"/>
                <w:highlight w:val="none"/>
                <w:lang w:val="en-US" w:eastAsia="zh-CN"/>
              </w:rPr>
              <w:t>包含存放枪支编号、枪支类型、枪支状态、存放枪柜、存放时间等信息，</w:t>
            </w:r>
            <w:r>
              <w:rPr>
                <w:rFonts w:hint="eastAsia" w:ascii="宋体" w:hAnsi="宋体" w:eastAsia="宋体" w:cs="宋体"/>
                <w:strike w:val="0"/>
                <w:dstrike w:val="0"/>
                <w:sz w:val="21"/>
                <w:szCs w:val="21"/>
                <w:highlight w:val="none"/>
              </w:rPr>
              <w:t>以寄存的方式存入。</w:t>
            </w:r>
            <w:r>
              <w:rPr>
                <w:rFonts w:hint="eastAsia" w:ascii="宋体" w:hAnsi="宋体" w:eastAsia="宋体" w:cs="宋体"/>
                <w:strike w:val="0"/>
                <w:dstrike w:val="0"/>
                <w:sz w:val="21"/>
                <w:szCs w:val="21"/>
                <w:highlight w:val="none"/>
                <w:lang w:val="en-US" w:eastAsia="zh-CN"/>
              </w:rPr>
              <w:t>寄存期间枪支由管理员进行入柜/出柜/领取/归还/保养等操作，寄存枪支信息可在管理平台进行查询。</w:t>
            </w:r>
          </w:p>
          <w:p>
            <w:pPr>
              <w:pStyle w:val="31"/>
              <w:numPr>
                <w:ilvl w:val="0"/>
                <w:numId w:val="0"/>
              </w:numPr>
              <w:spacing w:line="24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r>
              <w:rPr>
                <w:rFonts w:hint="eastAsia" w:ascii="宋体" w:hAnsi="宋体" w:eastAsia="宋体" w:cs="宋体"/>
                <w:strike w:val="0"/>
                <w:dstrike w:val="0"/>
                <w:sz w:val="21"/>
                <w:szCs w:val="21"/>
                <w:highlight w:val="none"/>
              </w:rPr>
              <w:t>子弹过期提醒功能：系统中应可以</w:t>
            </w:r>
            <w:r>
              <w:rPr>
                <w:rFonts w:hint="eastAsia" w:ascii="宋体" w:hAnsi="宋体" w:eastAsia="宋体" w:cs="宋体"/>
                <w:strike w:val="0"/>
                <w:dstrike w:val="0"/>
                <w:sz w:val="21"/>
                <w:szCs w:val="21"/>
                <w:highlight w:val="none"/>
                <w:lang w:val="en-US" w:eastAsia="zh-CN"/>
              </w:rPr>
              <w:t>填写子弹生产年份，支持</w:t>
            </w:r>
            <w:r>
              <w:rPr>
                <w:rFonts w:hint="eastAsia" w:ascii="宋体" w:hAnsi="宋体" w:eastAsia="宋体" w:cs="宋体"/>
                <w:strike w:val="0"/>
                <w:dstrike w:val="0"/>
                <w:sz w:val="21"/>
                <w:szCs w:val="21"/>
                <w:highlight w:val="none"/>
              </w:rPr>
              <w:t>设置弹药</w:t>
            </w:r>
            <w:r>
              <w:rPr>
                <w:rFonts w:hint="eastAsia" w:ascii="宋体" w:hAnsi="宋体" w:eastAsia="宋体" w:cs="宋体"/>
                <w:strike w:val="0"/>
                <w:dstrike w:val="0"/>
                <w:sz w:val="21"/>
                <w:szCs w:val="21"/>
                <w:highlight w:val="none"/>
                <w:lang w:val="en-US" w:eastAsia="zh-CN"/>
              </w:rPr>
              <w:t>质保时间</w:t>
            </w:r>
            <w:r>
              <w:rPr>
                <w:rFonts w:hint="eastAsia" w:ascii="宋体" w:hAnsi="宋体" w:eastAsia="宋体" w:cs="宋体"/>
                <w:strike w:val="0"/>
                <w:dstrike w:val="0"/>
                <w:sz w:val="21"/>
                <w:szCs w:val="21"/>
                <w:highlight w:val="none"/>
              </w:rPr>
              <w:t>，可设置到期</w:t>
            </w:r>
            <w:r>
              <w:rPr>
                <w:rFonts w:hint="eastAsia" w:ascii="宋体" w:hAnsi="宋体" w:eastAsia="宋体" w:cs="宋体"/>
                <w:strike w:val="0"/>
                <w:dstrike w:val="0"/>
                <w:sz w:val="21"/>
                <w:szCs w:val="21"/>
                <w:highlight w:val="none"/>
                <w:lang w:val="en-US" w:eastAsia="zh-CN"/>
              </w:rPr>
              <w:t>时平台弹窗</w:t>
            </w:r>
            <w:r>
              <w:rPr>
                <w:rFonts w:hint="eastAsia" w:ascii="宋体" w:hAnsi="宋体" w:eastAsia="宋体" w:cs="宋体"/>
                <w:strike w:val="0"/>
                <w:dstrike w:val="0"/>
                <w:sz w:val="21"/>
                <w:szCs w:val="21"/>
                <w:highlight w:val="none"/>
              </w:rPr>
              <w:t>提醒，便于优先使用快到期的弹药。</w:t>
            </w:r>
          </w:p>
          <w:p>
            <w:pPr>
              <w:pStyle w:val="31"/>
              <w:numPr>
                <w:ilvl w:val="0"/>
                <w:numId w:val="0"/>
              </w:numPr>
              <w:spacing w:line="24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w:t>
            </w:r>
            <w:r>
              <w:rPr>
                <w:rFonts w:hint="eastAsia" w:ascii="宋体" w:hAnsi="宋体" w:eastAsia="宋体" w:cs="宋体"/>
                <w:strike w:val="0"/>
                <w:dstrike w:val="0"/>
                <w:sz w:val="21"/>
                <w:szCs w:val="21"/>
                <w:highlight w:val="none"/>
              </w:rPr>
              <w:t>支持各枪柜或弹柜间枪支/弹药的调拨申请和审批</w:t>
            </w:r>
            <w:r>
              <w:rPr>
                <w:rFonts w:hint="eastAsia" w:ascii="宋体" w:hAnsi="宋体" w:eastAsia="宋体" w:cs="宋体"/>
                <w:strike w:val="0"/>
                <w:dstrike w:val="0"/>
                <w:sz w:val="21"/>
                <w:szCs w:val="21"/>
                <w:highlight w:val="none"/>
                <w:lang w:eastAsia="zh-CN"/>
              </w:rPr>
              <w:t>，</w:t>
            </w:r>
            <w:r>
              <w:rPr>
                <w:rFonts w:hint="eastAsia" w:ascii="宋体" w:hAnsi="宋体" w:eastAsia="宋体" w:cs="宋体"/>
                <w:strike w:val="0"/>
                <w:dstrike w:val="0"/>
                <w:sz w:val="21"/>
                <w:szCs w:val="21"/>
                <w:highlight w:val="none"/>
                <w:lang w:val="en-US" w:eastAsia="zh-CN"/>
              </w:rPr>
              <w:t>管理平台可查看当前枪支/弹药调拨进度。</w:t>
            </w:r>
          </w:p>
          <w:p>
            <w:pPr>
              <w:pStyle w:val="31"/>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color w:val="auto"/>
                <w:highlight w:val="none"/>
                <w:lang w:val="en-US" w:eastAsia="zh-CN"/>
              </w:rPr>
              <w:t>24、</w:t>
            </w:r>
            <w:r>
              <w:rPr>
                <w:rFonts w:hint="eastAsia" w:ascii="宋体" w:hAnsi="宋体" w:eastAsia="宋体" w:cs="宋体"/>
                <w:sz w:val="21"/>
                <w:szCs w:val="21"/>
                <w:highlight w:val="none"/>
              </w:rPr>
              <w:t>管理平台自动记录子弹消耗信息，并提供子弹消耗记录补填</w:t>
            </w:r>
            <w:r>
              <w:rPr>
                <w:rFonts w:hint="eastAsia" w:ascii="宋体" w:hAnsi="宋体" w:eastAsia="宋体" w:cs="宋体"/>
                <w:sz w:val="21"/>
                <w:szCs w:val="21"/>
                <w:highlight w:val="none"/>
                <w:lang w:val="en-US" w:eastAsia="zh-CN"/>
              </w:rPr>
              <w:t>申请、审批</w:t>
            </w:r>
            <w:r>
              <w:rPr>
                <w:rFonts w:hint="eastAsia" w:ascii="宋体" w:hAnsi="宋体" w:eastAsia="宋体" w:cs="宋体"/>
                <w:sz w:val="21"/>
                <w:szCs w:val="21"/>
                <w:highlight w:val="none"/>
              </w:rPr>
              <w:t>功能，可填写子弹</w:t>
            </w:r>
            <w:r>
              <w:rPr>
                <w:rFonts w:hint="eastAsia" w:ascii="宋体" w:hAnsi="宋体" w:eastAsia="宋体" w:cs="宋体"/>
                <w:sz w:val="21"/>
                <w:szCs w:val="21"/>
                <w:highlight w:val="none"/>
                <w:lang w:val="en-US" w:eastAsia="zh-CN"/>
              </w:rPr>
              <w:t>类型、子弹仓位、子弹</w:t>
            </w:r>
            <w:r>
              <w:rPr>
                <w:rFonts w:hint="eastAsia" w:ascii="宋体" w:hAnsi="宋体" w:eastAsia="宋体" w:cs="宋体"/>
                <w:sz w:val="21"/>
                <w:szCs w:val="21"/>
                <w:highlight w:val="none"/>
              </w:rPr>
              <w:t>消耗原因等信息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审批通过后，管理平台子弹消耗总数自动累加计算</w:t>
            </w:r>
            <w:r>
              <w:rPr>
                <w:rFonts w:hint="eastAsia" w:ascii="宋体" w:hAnsi="宋体" w:eastAsia="宋体" w:cs="宋体"/>
                <w:sz w:val="21"/>
                <w:szCs w:val="21"/>
                <w:highlight w:val="none"/>
              </w:rPr>
              <w:t>。</w:t>
            </w:r>
          </w:p>
          <w:p>
            <w:pPr>
              <w:pStyle w:val="31"/>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远程授权功能：可对枪弹柜终端发起的领用审批进行同意还是拒绝授权，授权后可</w:t>
            </w:r>
            <w:r>
              <w:rPr>
                <w:rFonts w:hint="eastAsia" w:ascii="宋体" w:hAnsi="宋体" w:eastAsia="宋体" w:cs="宋体"/>
                <w:sz w:val="21"/>
                <w:szCs w:val="21"/>
                <w:highlight w:val="none"/>
              </w:rPr>
              <w:t>开启枪</w:t>
            </w:r>
            <w:r>
              <w:rPr>
                <w:rFonts w:hint="eastAsia" w:ascii="宋体" w:hAnsi="宋体" w:eastAsia="宋体" w:cs="宋体"/>
                <w:sz w:val="21"/>
                <w:szCs w:val="21"/>
                <w:highlight w:val="none"/>
                <w:lang w:val="en-US" w:eastAsia="zh-CN"/>
              </w:rPr>
              <w:t>弹</w:t>
            </w:r>
            <w:r>
              <w:rPr>
                <w:rFonts w:hint="eastAsia" w:ascii="宋体" w:hAnsi="宋体" w:eastAsia="宋体" w:cs="宋体"/>
                <w:sz w:val="21"/>
                <w:szCs w:val="21"/>
                <w:highlight w:val="none"/>
              </w:rPr>
              <w:t>柜</w:t>
            </w:r>
            <w:r>
              <w:rPr>
                <w:rFonts w:hint="eastAsia" w:ascii="宋体" w:hAnsi="宋体" w:eastAsia="宋体" w:cs="宋体"/>
                <w:sz w:val="21"/>
                <w:szCs w:val="21"/>
                <w:highlight w:val="none"/>
                <w:lang w:val="en-US" w:eastAsia="zh-CN"/>
              </w:rPr>
              <w:t>领取</w:t>
            </w:r>
            <w:r>
              <w:rPr>
                <w:rFonts w:hint="eastAsia" w:ascii="宋体" w:hAnsi="宋体" w:eastAsia="宋体" w:cs="宋体"/>
                <w:sz w:val="21"/>
                <w:szCs w:val="21"/>
                <w:highlight w:val="none"/>
              </w:rPr>
              <w:t>枪弹。</w:t>
            </w:r>
          </w:p>
          <w:p>
            <w:pPr>
              <w:pStyle w:val="31"/>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26</w:t>
            </w:r>
            <w:r>
              <w:rPr>
                <w:rFonts w:hint="eastAsia" w:ascii="宋体" w:hAnsi="宋体" w:eastAsia="宋体" w:cs="宋体"/>
                <w:sz w:val="21"/>
                <w:szCs w:val="21"/>
                <w:highlight w:val="none"/>
              </w:rPr>
              <w:t>、视频查看功能：可在管理平台上查看实时视频监控、历史视频监控等信息。</w:t>
            </w:r>
          </w:p>
          <w:p>
            <w:pPr>
              <w:pStyle w:val="31"/>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rPr>
              <w:t>、视频控制功能：可在管理平台上对终端进行启动监控、停止监控等视频监控的控制。</w:t>
            </w:r>
          </w:p>
          <w:p>
            <w:pPr>
              <w:pStyle w:val="31"/>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rPr>
              <w:t>、具有枪弹终端所有的日志类型，所有日志均以列表形式展示基本信息，可以查看详情；支持按时间段、枪支编号、领用人等关键字查询管辖范围内的枪支弹药使用情况，包括枪支弹药的取还信息、子外消耗信息，领导授权信息，现场拍摄的图片信息和报警信息等；支持经授权后可导出excel和pdf格式。</w:t>
            </w:r>
          </w:p>
          <w:p>
            <w:pPr>
              <w:pStyle w:val="31"/>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29</w:t>
            </w:r>
            <w:r>
              <w:rPr>
                <w:rFonts w:hint="eastAsia" w:ascii="宋体" w:hAnsi="宋体" w:eastAsia="宋体" w:cs="宋体"/>
                <w:sz w:val="21"/>
                <w:szCs w:val="21"/>
                <w:highlight w:val="none"/>
              </w:rPr>
              <w:t>、可在管理平台按关键字查询枪支维护、枪支入柜、弹药入柜、枪支出柜、弹药出柜等操作日志。</w:t>
            </w:r>
          </w:p>
          <w:p>
            <w:pPr>
              <w:pStyle w:val="31"/>
              <w:spacing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远程封柜功能：</w:t>
            </w:r>
            <w:r>
              <w:rPr>
                <w:rFonts w:hint="eastAsia" w:ascii="宋体" w:hAnsi="宋体" w:eastAsia="宋体" w:cs="宋体"/>
                <w:sz w:val="21"/>
                <w:szCs w:val="21"/>
                <w:highlight w:val="none"/>
              </w:rPr>
              <w:t>可在管理平台设置枪柜在一段时间内为封闭状态，此状态下枪柜端不允许任何操作。</w:t>
            </w:r>
          </w:p>
          <w:p>
            <w:pPr>
              <w:pStyle w:val="31"/>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枪弹柜状态查看功能：</w:t>
            </w:r>
          </w:p>
          <w:p>
            <w:pPr>
              <w:pStyle w:val="31"/>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.当进行枪支领用、归还枪支、状态查询、紧急用枪、系统维护操作时，应有语音提示。</w:t>
            </w:r>
          </w:p>
          <w:p>
            <w:pPr>
              <w:pStyle w:val="31"/>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可查看到各级机构所属的枪弹柜，以及各枪弹柜日前的状态、枪弹柜情况及其中所存放的枪支具体信息，如枪弹柜名称、枪弹柜IP、枪支在位数、枪支型号等：开柜、关柜、网络连接、网络中断、电源中断、异常报警、入侵报警等。</w:t>
            </w:r>
          </w:p>
          <w:p>
            <w:pPr>
              <w:pStyle w:val="31"/>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.可通过最直观的枪支弹药分布图，看到本单位机构枪弹柜中每个位置的枪支在位情况，比如可用不同颜色标记枪支不在位和在位两种情况。</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32、身份验证灵活配置：身份验证可以灵活配置，不同操作可以配置不同的身份验证方式，可以通过枪弹柜控制系统和管理平台修改某个操作的身份验证方式。</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安防视频监控：可通过平台页面直接查看实时视频监控和历史回放。支持不少于25窗口实时画面同时播放，可实现1/4/9/16/25窗口切换；可查看历史回放，通过点击时间轴选择历史回放的起止时间，支持1/2、1、2、4、8、16倍速播放。</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w:t>
            </w:r>
            <w:r>
              <w:rPr>
                <w:rFonts w:hint="eastAsia" w:ascii="宋体" w:hAnsi="宋体" w:eastAsia="宋体" w:cs="宋体"/>
                <w:color w:val="auto"/>
                <w:kern w:val="0"/>
                <w:sz w:val="21"/>
                <w:szCs w:val="21"/>
                <w:highlight w:val="none"/>
                <w:lang w:val="en-US" w:eastAsia="zh-CN" w:bidi="ar-SA"/>
              </w:rPr>
              <w:t>报警弹窗提示功能：根据报警类型和级别，可配置在页面右下角小弹框或在整体页面居中弹窗提示报警，可以勾选不再弹出。</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kern w:val="0"/>
                <w:sz w:val="21"/>
                <w:szCs w:val="21"/>
                <w:highlight w:val="none"/>
                <w:lang w:val="en-US" w:eastAsia="zh-CN" w:bidi="ar-SA"/>
              </w:rPr>
              <w:t>、枪/弹柜基础信息维护功能：支持维护枪柜/弹柜名称、装备类型、所属单位、所属库室等基本信息。</w:t>
            </w:r>
          </w:p>
          <w:p>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36、枪弹情况查询功能：支持以图文形式展开单位下各个库室的全部枪弹柜枪支在位情况、离位情况。</w:t>
            </w:r>
          </w:p>
          <w:p>
            <w:pPr>
              <w:pStyle w:val="70"/>
              <w:keepNext w:val="0"/>
              <w:keepLines w:val="0"/>
              <w:widowControl w:val="0"/>
              <w:shd w:val="clear" w:color="auto" w:fill="auto"/>
              <w:bidi w:val="0"/>
              <w:spacing w:before="0" w:after="0" w:line="314" w:lineRule="exact"/>
              <w:ind w:left="0" w:leftChars="0" w:right="0" w:rightChars="0" w:firstLine="0" w:firstLineChars="0"/>
              <w:jc w:val="left"/>
              <w:rPr>
                <w:rFonts w:hint="eastAsia" w:ascii="宋体" w:hAnsi="宋体" w:eastAsia="宋体" w:cs="宋体"/>
                <w:color w:val="auto"/>
                <w:kern w:val="0"/>
                <w:sz w:val="21"/>
                <w:szCs w:val="21"/>
                <w:highlight w:val="none"/>
                <w:u w:val="none"/>
                <w:shd w:val="clear"/>
                <w:lang w:val="en-US" w:eastAsia="zh-CN" w:bidi="ar-SA"/>
              </w:rPr>
            </w:pPr>
            <w:r>
              <w:rPr>
                <w:rFonts w:hint="eastAsia" w:ascii="宋体" w:hAnsi="宋体" w:eastAsia="宋体" w:cs="宋体"/>
                <w:color w:val="auto"/>
                <w:kern w:val="0"/>
                <w:sz w:val="21"/>
                <w:szCs w:val="21"/>
                <w:highlight w:val="none"/>
                <w:lang w:val="en-US" w:eastAsia="zh-CN" w:bidi="ar-SA"/>
              </w:rPr>
              <w:t>▲37、</w:t>
            </w:r>
            <w:r>
              <w:rPr>
                <w:rFonts w:hint="eastAsia" w:ascii="宋体" w:hAnsi="宋体" w:eastAsia="宋体" w:cs="宋体"/>
                <w:color w:val="auto"/>
                <w:kern w:val="0"/>
                <w:sz w:val="21"/>
                <w:szCs w:val="21"/>
                <w:highlight w:val="none"/>
                <w:u w:val="none"/>
                <w:shd w:val="clear"/>
                <w:lang w:val="en-US" w:eastAsia="zh-CN" w:bidi="ar-SA"/>
              </w:rPr>
              <w:t>短信收发功能：管理平台具备GSM短信收发功能，能够通过手机短信对枪、弹领用提出申请或进行审批、对枪、弹取出进行审批和提醒，以短信形式发送到指定人员手机。</w:t>
            </w:r>
          </w:p>
          <w:p>
            <w:pPr>
              <w:pStyle w:val="70"/>
              <w:keepNext w:val="0"/>
              <w:keepLines w:val="0"/>
              <w:widowControl w:val="0"/>
              <w:shd w:val="clear" w:color="auto" w:fill="auto"/>
              <w:bidi w:val="0"/>
              <w:spacing w:before="0" w:after="0" w:line="314" w:lineRule="exact"/>
              <w:ind w:left="0" w:leftChars="0" w:right="0" w:rightChars="0" w:firstLine="0" w:firstLineChars="0"/>
              <w:jc w:val="left"/>
              <w:rPr>
                <w:rFonts w:hint="eastAsia" w:ascii="宋体" w:hAnsi="宋体" w:eastAsia="宋体" w:cs="宋体"/>
                <w:color w:val="auto"/>
                <w:kern w:val="0"/>
                <w:sz w:val="21"/>
                <w:szCs w:val="21"/>
                <w:highlight w:val="none"/>
                <w:u w:val="none"/>
                <w:shd w:val="clear"/>
                <w:lang w:val="en-US" w:eastAsia="zh-CN" w:bidi="ar-SA"/>
              </w:rPr>
            </w:pPr>
            <w:r>
              <w:rPr>
                <w:rFonts w:hint="eastAsia" w:ascii="宋体" w:hAnsi="宋体" w:eastAsia="宋体" w:cs="宋体"/>
                <w:color w:val="auto"/>
                <w:kern w:val="0"/>
                <w:sz w:val="21"/>
                <w:szCs w:val="21"/>
                <w:highlight w:val="none"/>
                <w:u w:val="none"/>
                <w:shd w:val="clear"/>
                <w:lang w:val="en-US" w:eastAsia="zh-CN" w:bidi="ar-SA"/>
              </w:rPr>
              <w:t>通过手机检查枪支、弹药在位情况、智能柜与服务器之间的连接状态，将系统内还枪延时提醒、还枪延时上报、枪弹损耗上报、枪弹柜异常报警等各种报警信息以短信形式发送到指定人员手机。管理平台能自定义短信内容、短信类型、短信对象，且不受条数限制。</w:t>
            </w:r>
          </w:p>
          <w:p>
            <w:pPr>
              <w:widowControl/>
              <w:wordWrap/>
              <w:snapToGrid/>
              <w:spacing w:line="240" w:lineRule="auto"/>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38</w:t>
            </w:r>
            <w:r>
              <w:rPr>
                <w:rFonts w:hint="eastAsia" w:ascii="宋体" w:hAnsi="宋体" w:eastAsia="宋体" w:cs="宋体"/>
                <w:color w:val="0000FF"/>
                <w:sz w:val="21"/>
                <w:szCs w:val="21"/>
                <w:highlight w:val="none"/>
              </w:rPr>
              <w:t>、</w:t>
            </w:r>
            <w:r>
              <w:rPr>
                <w:rFonts w:hint="eastAsia"/>
                <w:color w:val="auto"/>
                <w:lang w:val="en-US" w:eastAsia="zh-CN"/>
              </w:rPr>
              <w:t>注“▲”项目参数须提供国家安全防范报警系统产品质量监督检验中心或公安部特种警用装备质量监督检验中心出具的检测报告或提供国家密码局商用密码产品型号证明佐证材料；且在报告和证明材料中必须有功能检测合格的描述。</w:t>
            </w:r>
            <w:r>
              <w:rPr>
                <w:rFonts w:hint="eastAsia" w:ascii="宋体" w:hAnsi="宋体" w:eastAsia="宋体" w:cs="宋体"/>
                <w:color w:val="auto"/>
                <w:sz w:val="21"/>
                <w:szCs w:val="21"/>
              </w:rPr>
              <w:t>(提供复印件加盖公章，且需提供制造商出具的加盖制造商公章的授权书)</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wordWrap/>
              <w:snapToGrid/>
              <w:spacing w:line="24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2"/>
                <w:sz w:val="21"/>
                <w:szCs w:val="21"/>
                <w:highlight w:val="none"/>
                <w:lang w:val="en-US" w:eastAsia="zh-CN" w:bidi="ar-SA"/>
              </w:rPr>
              <w:t>2</w:t>
            </w:r>
          </w:p>
        </w:tc>
        <w:tc>
          <w:tcPr>
            <w:tcW w:w="1292" w:type="dxa"/>
            <w:vAlign w:val="center"/>
          </w:tcPr>
          <w:p>
            <w:pPr>
              <w:wordWrap/>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服务器</w:t>
            </w:r>
          </w:p>
        </w:tc>
        <w:tc>
          <w:tcPr>
            <w:tcW w:w="7706" w:type="dxa"/>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1、外形：单路入门级塔式服务器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2、处理器：至强E-2224G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3、内存：4个UDIMM内存插槽，大可支持到128GB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4、存储：大可支持4块硬盘，3个3.5英寸盘位+1个2.5英寸盘位；支持在3.5英寸托架中混用2.5英寸SSD ；支持M.2和SD卡；</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5、前端IO和LED：按钮:电源按钮(LED指示灯)；4个USB3.1端口 ；一个Type-C端口；音频输入输出接口</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6、后端IO和LED：一个RJ45千兆以太网端口；一个串行COM端口，2个DP视频输出端口(可选:DP到VGADP到HDMI转接线 ；4个USB接口</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7、网络：一个1GbE嵌入式端口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8、电源：250W80plus铂金电源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9、RAID支持：inter VROX6.X软RAID；支持硬件RAID卡(RAID0.1.10.5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10、管理性：InterAMT12.0服务器管理嵌入式TPM安全管理芯片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11、操作系统：Windows 2019、Windows2016、Windows10、Windows7</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12、PCI-E：X16通道PCI-Een3安装在X16插槽中</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13、X4通道PCI-Gen3安装在X16插槽中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14、X1通道PCI-Gen3安装在X1插槽中</w:t>
            </w:r>
          </w:p>
          <w:p>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sz w:val="21"/>
                <w:szCs w:val="21"/>
                <w:highlight w:val="none"/>
              </w:rPr>
              <w:t xml:space="preserve">15、散热系统：固定系统风扇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wordWrap/>
              <w:snapToGrid/>
              <w:spacing w:line="24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2"/>
                <w:sz w:val="21"/>
                <w:szCs w:val="21"/>
                <w:highlight w:val="none"/>
                <w:lang w:val="en-US" w:eastAsia="zh-CN" w:bidi="ar-SA"/>
              </w:rPr>
              <w:t>3</w:t>
            </w:r>
          </w:p>
        </w:tc>
        <w:tc>
          <w:tcPr>
            <w:tcW w:w="1292" w:type="dxa"/>
            <w:vAlign w:val="center"/>
          </w:tcPr>
          <w:p>
            <w:pPr>
              <w:widowControl/>
              <w:wordWrap/>
              <w:adjustRightInd/>
              <w:snapToGrid/>
              <w:spacing w:line="24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显示屏</w:t>
            </w:r>
          </w:p>
        </w:tc>
        <w:tc>
          <w:tcPr>
            <w:tcW w:w="7706" w:type="dxa"/>
            <w:vAlign w:val="top"/>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1、屏幕尺寸: 23.8英寸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2、显示色数: 16.7M</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3、显示亮度: 250cd/m2</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4、分辨率: 1920*1080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5、屏幕刷新率:60HZ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6、面板: IPS技术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7、屏幕比例:16：9</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8、接口：HDMI，VGA</w:t>
            </w:r>
          </w:p>
          <w:p>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9、对比度: 1000:112、接口类型: HDMI2.0 USB Type-C2xDP1.4In/Out(DP1.4 4 lanes Alt Mode)、以太网口、4xUSB3.2 Gen1、USB Type-C15W充电口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gridSpan w:val="3"/>
            <w:vAlign w:val="center"/>
          </w:tcPr>
          <w:p>
            <w:pPr>
              <w:spacing w:before="100" w:after="100"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sz w:val="21"/>
                <w:szCs w:val="21"/>
                <w:highlight w:val="none"/>
                <w:lang w:val="en-US" w:eastAsia="zh-CN"/>
              </w:rPr>
              <w:t>三、</w:t>
            </w:r>
            <w:r>
              <w:rPr>
                <w:rFonts w:hint="eastAsia" w:ascii="宋体" w:hAnsi="宋体" w:eastAsia="宋体" w:cs="宋体"/>
                <w:b/>
                <w:sz w:val="21"/>
                <w:szCs w:val="21"/>
                <w:highlight w:val="none"/>
                <w:lang w:val="en-US" w:eastAsia="zh-CN"/>
              </w:rPr>
              <w:t>智能</w:t>
            </w:r>
            <w:r>
              <w:rPr>
                <w:rFonts w:hint="eastAsia" w:ascii="宋体" w:hAnsi="宋体" w:eastAsia="宋体" w:cs="宋体"/>
                <w:b/>
                <w:sz w:val="21"/>
                <w:szCs w:val="21"/>
                <w:highlight w:val="none"/>
              </w:rPr>
              <w:t>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spacing w:before="100" w:after="100" w:line="24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w:t>
            </w:r>
          </w:p>
        </w:tc>
        <w:tc>
          <w:tcPr>
            <w:tcW w:w="1292" w:type="dxa"/>
            <w:vAlign w:val="center"/>
          </w:tcPr>
          <w:p>
            <w:pPr>
              <w:spacing w:before="100" w:after="100" w:line="240" w:lineRule="auto"/>
              <w:jc w:val="center"/>
              <w:rPr>
                <w:rFonts w:hint="eastAsia" w:ascii="宋体" w:hAnsi="宋体" w:eastAsia="宋体" w:cs="宋体"/>
                <w:b/>
                <w:bCs/>
                <w:color w:val="auto"/>
                <w:kern w:val="2"/>
                <w:sz w:val="21"/>
                <w:szCs w:val="21"/>
                <w:highlight w:val="none"/>
                <w:lang w:val="en-US" w:eastAsia="zh-CN" w:bidi="ar-SA"/>
              </w:rPr>
            </w:pPr>
            <w:r>
              <w:rPr>
                <w:rStyle w:val="34"/>
                <w:rFonts w:hint="eastAsia" w:ascii="宋体" w:hAnsi="宋体" w:eastAsia="宋体" w:cs="宋体"/>
                <w:color w:val="auto"/>
                <w:sz w:val="21"/>
                <w:szCs w:val="21"/>
                <w:highlight w:val="none"/>
              </w:rPr>
              <w:t>智能库门</w:t>
            </w:r>
          </w:p>
        </w:tc>
        <w:tc>
          <w:tcPr>
            <w:tcW w:w="7706" w:type="dxa"/>
            <w:vAlign w:val="top"/>
          </w:tcPr>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1、尺寸：</w:t>
            </w:r>
            <w:r>
              <w:rPr>
                <w:rFonts w:hint="eastAsia" w:ascii="宋体" w:hAnsi="宋体" w:cs="宋体"/>
                <w:color w:val="auto"/>
                <w:kern w:val="2"/>
                <w:sz w:val="21"/>
                <w:szCs w:val="21"/>
                <w:highlight w:val="none"/>
                <w:lang w:val="en-US" w:eastAsia="zh-CN"/>
              </w:rPr>
              <w:t>2100mm*1050mm*240</w:t>
            </w:r>
            <w:r>
              <w:rPr>
                <w:rFonts w:hint="eastAsia" w:ascii="宋体" w:hAnsi="宋体" w:eastAsia="宋体" w:cs="宋体"/>
                <w:color w:val="auto"/>
                <w:kern w:val="2"/>
                <w:sz w:val="21"/>
                <w:szCs w:val="21"/>
                <w:highlight w:val="none"/>
                <w:lang w:val="en-US" w:eastAsia="zh-CN"/>
              </w:rPr>
              <w:t>（根据实际需求定制）</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2、柜体采用优质碳素钢钢板制作，门板厚度6mm，门内侧板厚度2mm。</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3、库门表面磷化防锈、静电喷塑处理；使用的各种易锈蚀零件，均应进行防腐处理，如电镀、喷涂等。焊接部分的焊渣应在表面处理前进行擦除，焊接点不应有尖角和锐边。</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4、门体内部有止口，框体在门体板厚的基础上采用加强结构。</w:t>
            </w:r>
          </w:p>
          <w:p>
            <w:pPr>
              <w:widowControl/>
              <w:wordWrap/>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5、门上配置的机械防盗锁具：</w:t>
            </w:r>
          </w:p>
          <w:p>
            <w:pPr>
              <w:widowControl/>
              <w:wordWrap/>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5.1、应符合GA/T 73-2015中 C级锁对锁头的技术要求 ，锁头结构为叶片结构；</w:t>
            </w:r>
          </w:p>
          <w:p>
            <w:pPr>
              <w:widowControl/>
              <w:wordWrap/>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5.2、差异量：以长度变化为差异的，其差异量应不小于 0.6mm; 以角度变化为差异的，其差异量应不小于 15°；</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5.3、实际可用密钥量：插芯式、外装式机械防盗锁应不大于理论密钥量的 40%;密码式机械防盗锁应不大于理论密钥量的 60%</w:t>
            </w:r>
            <w:r>
              <w:rPr>
                <w:rFonts w:hint="eastAsia" w:ascii="宋体" w:hAnsi="宋体" w:eastAsia="宋体" w:cs="宋体"/>
                <w:color w:val="auto"/>
                <w:kern w:val="2"/>
                <w:sz w:val="21"/>
                <w:szCs w:val="21"/>
                <w:highlight w:val="none"/>
                <w:lang w:val="en-US" w:eastAsia="zh-CN"/>
              </w:rPr>
              <w:t>。</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6、符合《GA 1016-2012枪支(弹药)库室风险等级划分与安全防范要求》中5.2.3条引用的《GB 17565-2007防盗安全门通用技术条件》中甲级防盗安全门的有关要求。</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7、门框与墙体采用膨胀螺栓连接，确保安装安全牢固，连接后采用水泥砂浆填充，门框与墙体连接处用白色无机涂料和乳胶漆收口。</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8、安装后门整体结实牢固，横平竖直，门页任意开启角度无滑动。</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9、控制系统：系统上配置不小于8英寸触摸屏控制器，配置指纹识别、人脸识别等多生物识别技术，指纹仪使用电容指纹仪，当指纹识别失效时，能用人脸识别开锁，不允许使用IC卡或固定密码方式开锁，保证系统安全。</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10、具有双人授权开启智能库门的功能。</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11、具备人机显示界面，人机显示界面应能实时显示日期、时间、电源状态、网络连接状态、自检状态、数据下载状态等。</w:t>
            </w:r>
          </w:p>
          <w:p>
            <w:pPr>
              <w:numPr>
                <w:ilvl w:val="0"/>
                <w:numId w:val="0"/>
              </w:numPr>
              <w:spacing w:before="0" w:beforeAutospacing="0" w:after="0" w:afterAutospacing="0" w:line="240" w:lineRule="auto"/>
              <w:ind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12、当非正常开启库门、库门超时未锁闭、库门断电、备用方式开启库门时，库门应能启动现场声光报警，现场报警器启动后，应仅允许具备权限的管理人员解除报警。</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13、可视对讲功能：可在库门控制器人机交互界面与远程管理平台进行双向视频对讲；可以在库门控制系统主界面点击对讲按钮与管理平台进行实时对讲，支持视频和音频同步对讲。</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14、一键封门功能：可通过服务器平台软件对库门进行一键封门操作，库门封门后无法通过触摸屏进行开启库门操作。</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15、校时要求：未联网运行的库门应具备手动按时功能；联网运行的库门应具备自动校时功能，时钟与北京时间的偏差应小于或等于1s。</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16、断网续传功能：将库门与服务器之间连接的网线断开，库门可将日志记录信息存储至本机中。当网络恢复正常后，可将断网期间产生的报警记录、开启库门记录等日志记录信息上传至服务器平台软件</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17、信息记录要求：a）应能自动记录库门正常操作信息（至少包括：人员添加、删除信息，库门启闭信息，应急开启信息，解除报警信息等）；b）所有记录不可删除和更改，能保存不少于10000条的最新运行信息记录，运行信息存储区记录满后应能自动覆盖；c）当电源不正常或掉电时，系统基本信息和记录的运行信息不应丢失；d）所有记录的运行信息应能通过数据接口下载，数量下载应有下载指针标志和下载权限限制。</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18、限定时间开启库门：可设定在规定的时间才能开启库门，非设定开启库门时间内打开库门，会产生报警。</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19、远程审批：领导对提交上来的库门开启申请通过管理平台进行远程审批，审批通过后任务发送至库门，用户即可在库门终端开启库门。</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20、数据同步：控制器可直接联网，能够与服务器同步用户数据，可与第三方管理系统对接。</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21、可设置单人验证模式或双人验证模式，开启双人验证模式后，须两个人完成验证方可开启库门。</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22、图像抓拍功能：开启库门时能对操作人员进行图像抓拍，抓拍图片分辨率（像素数）为1920x1080，抓拍图片存储数量不少于250000张。</w:t>
            </w:r>
          </w:p>
          <w:p>
            <w:pPr>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23、胁迫指纹报警：可以录入胁迫指纹，通过胁迫指纹开启验证，库门控制器会自动将报警信息传送至服务器。</w:t>
            </w:r>
          </w:p>
          <w:p>
            <w:pPr>
              <w:pStyle w:val="76"/>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24、指纹模块具备如下功能：</w:t>
            </w:r>
            <w:r>
              <w:rPr>
                <w:rFonts w:hint="eastAsia" w:ascii="宋体" w:hAnsi="宋体" w:eastAsia="宋体" w:cs="宋体"/>
                <w:color w:val="auto"/>
                <w:sz w:val="21"/>
                <w:szCs w:val="21"/>
                <w:lang w:val="en-US" w:eastAsia="zh-CN"/>
              </w:rPr>
              <w:t>指纹登录、删除功能检查：应能登录、删除用户指纹信息；信息保存功能检查：</w:t>
            </w:r>
            <w:r>
              <w:rPr>
                <w:rFonts w:hint="eastAsia" w:ascii="宋体" w:hAnsi="宋体" w:eastAsia="宋体" w:cs="宋体"/>
                <w:color w:val="auto"/>
                <w:kern w:val="0"/>
                <w:sz w:val="21"/>
                <w:szCs w:val="21"/>
                <w:lang w:val="en-US" w:eastAsia="zh-CN" w:bidi="ar-SA"/>
              </w:rPr>
              <w:t>指纹模块应能与计算机通过通讯接口进行指令传输与应答；</w:t>
            </w:r>
            <w:r>
              <w:rPr>
                <w:rFonts w:hint="eastAsia" w:ascii="宋体" w:hAnsi="宋体" w:eastAsia="宋体" w:cs="宋体"/>
                <w:color w:val="auto"/>
                <w:sz w:val="21"/>
                <w:szCs w:val="21"/>
                <w:lang w:val="en-US" w:eastAsia="zh-CN"/>
              </w:rPr>
              <w:t>指纹匹配功能检查：应能将采样的图像与注册的模板进行1：N和1:1比对；指令反馈时间检查：在接收到采集指纹的指令后采集指纹，系统做出反馈的时间≤1S；指纹测试中，认假率应≤0.0005%；拒真率应≤1.2%。</w:t>
            </w:r>
          </w:p>
          <w:p>
            <w:pPr>
              <w:spacing w:before="0" w:beforeAutospacing="0" w:after="0" w:afterAutospacing="0" w:line="240" w:lineRule="auto"/>
              <w:ind w:left="0" w:right="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eastAsia="zh-CN"/>
              </w:rPr>
              <w:t>.人脸识别摄像头具备如下功能：</w:t>
            </w:r>
          </w:p>
          <w:p>
            <w:pPr>
              <w:spacing w:before="0" w:beforeAutospacing="0" w:after="0" w:afterAutospacing="0" w:line="240" w:lineRule="auto"/>
              <w:ind w:left="0" w:right="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eastAsia="zh-CN"/>
              </w:rPr>
              <w:t>.1、错误接受率和错误拒绝率试验：在同一设定阈值条件下，设备的错误接受率（FAR）小于或等于 0.1% 时， 错误拒绝率(FFR) 小于或等于5%。</w:t>
            </w:r>
          </w:p>
          <w:p>
            <w:pPr>
              <w:spacing w:before="0" w:beforeAutospacing="0" w:after="0" w:afterAutospacing="0" w:line="240" w:lineRule="auto"/>
              <w:ind w:left="0" w:right="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eastAsia="zh-CN"/>
              </w:rPr>
              <w:t>.2、摄像头畸变试验：设备摄像头畸变应小于等于 5%。</w:t>
            </w:r>
          </w:p>
          <w:p>
            <w:pPr>
              <w:spacing w:before="0" w:beforeAutospacing="0" w:after="0" w:afterAutospacing="0" w:line="240" w:lineRule="auto"/>
              <w:ind w:left="0" w:right="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eastAsia="zh-CN"/>
              </w:rPr>
              <w:t>.3、性别属性判断准确率试验：设备性别属性判断准确率应大于等于 95%。</w:t>
            </w:r>
          </w:p>
          <w:p>
            <w:pPr>
              <w:spacing w:before="0" w:beforeAutospacing="0" w:after="0" w:afterAutospacing="0" w:line="240" w:lineRule="auto"/>
              <w:ind w:left="0" w:right="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eastAsia="zh-CN"/>
              </w:rPr>
              <w:t>.4、人脸识别距离试验：设备人脸识别距离范围应为0.3m~2.0m。</w:t>
            </w:r>
          </w:p>
          <w:p>
            <w:pPr>
              <w:spacing w:before="0" w:beforeAutospacing="0" w:after="0" w:afterAutospacing="0" w:line="240" w:lineRule="auto"/>
              <w:ind w:left="0" w:right="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eastAsia="zh-CN"/>
              </w:rPr>
              <w:t>.5、1:N 人脸识别响应时间试验：设备 1:N 人脸识别平均响应时间应小于等于 1.0s。</w:t>
            </w:r>
          </w:p>
          <w:p>
            <w:pPr>
              <w:spacing w:before="0" w:beforeAutospacing="0" w:after="0" w:afterAutospacing="0" w:line="240" w:lineRule="auto"/>
              <w:ind w:left="0" w:right="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lang w:eastAsia="zh-CN"/>
              </w:rPr>
              <w:t>.6、参数设置功能试验：设备应支持通过操作软件设置人脸识别阈值和活体检测阈值。</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26.振动报警器具备如下功能：</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a.灵敏度设置功能：在控制软件设置界面可以设置报警等级，最多可以设置 8 个等级，并且可以自定义设置每个报警等级对应的灵敏度，可设置范围0~8。</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b.冲击加速度测量功能：振动探测器能检测到振动、敲击等信号，并在控制软件显示最大冲击加速度值。</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c.电源检验：电源电压在标称值的85%~110%的范围内，探测器应不需调整而能正常工作。</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d.恒定湿热：(40+2) C，RH(93)%，48h，试验后样品应能正常工作。</w:t>
            </w:r>
          </w:p>
          <w:p>
            <w:pPr>
              <w:pStyle w:val="2"/>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e.振动试验：10Hz~55Hz、振幅 0.35mm、每一轴向循环扫频 3 次，每次时间 5min，试验后样品应能正常工作。</w:t>
            </w:r>
          </w:p>
          <w:p>
            <w:pPr>
              <w:pStyle w:val="2"/>
              <w:spacing w:line="24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f.耐久性：振动探测器在额定电压下进行报警和复位，循环 50 次应无电的或机械的故障也不应有器件损伤和触点失常。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gridSpan w:val="3"/>
            <w:vAlign w:val="center"/>
          </w:tcPr>
          <w:p>
            <w:pPr>
              <w:spacing w:before="100" w:after="100"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lang w:val="en-US" w:eastAsia="zh-CN" w:bidi="ar-SA"/>
              </w:rPr>
              <w:t>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numPr>
                <w:ilvl w:val="0"/>
                <w:numId w:val="11"/>
              </w:numPr>
              <w:wordWrap/>
              <w:snapToGrid/>
              <w:spacing w:line="240" w:lineRule="auto"/>
              <w:ind w:left="0" w:leftChars="0" w:firstLine="0" w:firstLineChars="0"/>
              <w:jc w:val="center"/>
              <w:textAlignment w:val="auto"/>
              <w:rPr>
                <w:rFonts w:hint="eastAsia" w:ascii="宋体" w:hAnsi="宋体" w:eastAsia="宋体" w:cs="宋体"/>
                <w:b w:val="0"/>
                <w:bCs w:val="0"/>
                <w:sz w:val="21"/>
                <w:szCs w:val="21"/>
                <w:highlight w:val="none"/>
                <w:lang w:val="en-US" w:eastAsia="zh-CN"/>
              </w:rPr>
            </w:pPr>
          </w:p>
        </w:tc>
        <w:tc>
          <w:tcPr>
            <w:tcW w:w="1292" w:type="dxa"/>
            <w:vAlign w:val="center"/>
          </w:tcPr>
          <w:p>
            <w:pPr>
              <w:wordWrap/>
              <w:snapToGrid/>
              <w:spacing w:line="24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筒式网络摄像机</w:t>
            </w:r>
          </w:p>
        </w:tc>
        <w:tc>
          <w:tcPr>
            <w:tcW w:w="7706" w:type="dxa"/>
            <w:vAlign w:val="top"/>
          </w:tcPr>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1.采用≥1/2.8″逐行扫描200万像素。</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2.最低照度：彩色≤0.0005lx；黑白≤0.0001lx。</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3.在红外补光模式下，可识别距设备150m处人体轮廓。</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4.支持三码流功能，可同时输出主码流：1920×1080@30fps，2Mbps、子码流：1280×720@30fps，1Mbps、第三码流：352×288@30fps，1Mbps。</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5.支持感兴趣区域、区域遮盖、数字降噪、强光抑制、走廊模式、区域曝光等功能。</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6.支持在视频遮挡、存储器满、网络断开、IP冲突时，可给出报警提示。</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7.支持宽动态自动切换功能。</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8.电源电压在DC12V±35%范围内变化，设备能正常工作。</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9.持移动侦测功能：在设定的侦测区域内具有目标移动时，可在客户输出报警提示，最多可设置18×22个移动侦测区域。</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10.设备内置拾音器，支持拾音距离≥15m。</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11.支持支持或客户端软件设置身份验证模式，设置选项包括无、Basic和Digest三种。</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12.支持支持或客户端软件设置登录密码时，可自动提示所设置密码的复杂度、包括高、中、低三种。</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13.支持音频异常侦测功能，包括音频陡升检测、音频陡降检测、音频突变、音频门限检测。</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14.在同一静止场景、相同图像参数、设备开启智能编码高级模式与普通模式相比，码率节约≥92%。</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15.支持前端畸变矫正功能。</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16.具有自动、关闭、开启透雾设置选项，透雾等级1～9级可设置。</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17.外壳防护等级：IP68。</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18.支持在同一场景中同时对8张人脸进行检测并进行图片抓拍。</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19.支持人脸统计功能，支持人脸测光控制功能，支持人脸优选功能，支持客流统计功能。</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支持网关ARP绑定功能，设备支持添加并绑定设备所在网段网关的MAC地址，当其它终端设备访问设备时，若使用正确的网关MAC地址即设备绑定的MAC地址支持正常访问设备；当使用错误的网关MAC地址即不是设备绑定的MAC地址则不能访问设备。</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21.支持在视频图像叠加图片，叠加的OSD可在屏幕中滚动显示。</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支持友好密码功能，设备启用友好密码功能策略时，与设备处于同一网段的地址支持使用设备出厂密码登录和访问设备，跨网段的地址只能使用复杂度为高的密码（至少8位，由大小写字母、数字和特殊字符组成）登录和访问设备；关闭友好密码功能策略时，与设备处于同一网段的地址和跨网段的地址都只能使用复杂度为高的密码登录和访问设备。</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23.支持以ISCSI直存方式进行双路传输数据。</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摄像机可配置启用或关闭视频内容保护功能，启用该功能时可对视频图像码流进行随机混淆处理，即对每帧视频图像编码随机改变每帧视频数据报文中若干字节的内容后再进行网络传输;通过提取设备通信网络数据包方式获得的经过数字随机混淆处理的视频码流无法正常播放。</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25.摄像机启用视频内容保护功能后，从摄像机存储介质（SD卡等）中直接拷贝或下载的视频数据，只有解码秘钥的用户才能正常播放，缺少解码秘钥则无法正常播放。</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26.摄像机启用视频内容保护功能后，只有经过授权并具有解码秘钥的用户才能通过平台软件正常播放、回放和下载摄像机回传的视频数据；缺少解码秘钥的用户无法正常播放、回放和下载摄像机回传的视频数据。</w:t>
            </w:r>
          </w:p>
          <w:p>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27.将经过摄像机视频内容保护处理的视频转换为普通视频（可被通用播放器正常播放）需要单独授权。</w:t>
            </w:r>
          </w:p>
          <w:p>
            <w:pPr>
              <w:pStyle w:val="12"/>
              <w:rPr>
                <w:rFonts w:hint="eastAsia" w:ascii="宋体" w:hAnsi="宋体" w:eastAsia="宋体" w:cs="宋体"/>
                <w:highlight w:val="none"/>
                <w:lang w:val="en-US" w:eastAsia="zh-CN"/>
              </w:rPr>
            </w:pPr>
            <w:r>
              <w:rPr>
                <w:rFonts w:hint="eastAsia" w:ascii="宋体" w:hAnsi="宋体" w:eastAsia="宋体" w:cs="宋体"/>
                <w:color w:val="auto"/>
                <w:kern w:val="2"/>
                <w:sz w:val="21"/>
                <w:szCs w:val="21"/>
                <w:highlight w:val="none"/>
                <w:lang w:val="en-US" w:eastAsia="zh-CN" w:bidi="ar-SA"/>
              </w:rPr>
              <w:t>28.设备可支持内置数字证书，并支持采用数字证书对解码秘钥进行加密。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numPr>
                <w:ilvl w:val="0"/>
                <w:numId w:val="0"/>
              </w:numPr>
              <w:wordWrap/>
              <w:snapToGrid/>
              <w:spacing w:line="240" w:lineRule="auto"/>
              <w:ind w:leftChars="0"/>
              <w:jc w:val="both"/>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292" w:type="dxa"/>
            <w:vAlign w:val="center"/>
          </w:tcPr>
          <w:p>
            <w:pPr>
              <w:widowControl/>
              <w:wordWrap/>
              <w:adjustRightInd/>
              <w:snapToGrid/>
              <w:spacing w:line="240" w:lineRule="auto"/>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POE交换机</w:t>
            </w:r>
          </w:p>
        </w:tc>
        <w:tc>
          <w:tcPr>
            <w:tcW w:w="7706" w:type="dxa"/>
            <w:vAlign w:val="top"/>
          </w:tcPr>
          <w:p>
            <w:pPr>
              <w:numPr>
                <w:ilvl w:val="0"/>
                <w:numId w:val="0"/>
              </w:numPr>
              <w:ind w:leftChars="0"/>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网络标准：IEEE802.3、IEEE802.3u、IEEE802.3z、IEEE802.3ab、IEEE802.3x、IEEE802.3af、IEEE802.3at、IEEE802.3az</w:t>
            </w:r>
          </w:p>
          <w:p>
            <w:pPr>
              <w:numPr>
                <w:ilvl w:val="0"/>
                <w:numId w:val="0"/>
              </w:numPr>
              <w:ind w:leftChars="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包转发率：41.7Mpps、交换容量：56Gbps；</w:t>
            </w:r>
          </w:p>
          <w:p>
            <w:pPr>
              <w:numPr>
                <w:ilvl w:val="0"/>
                <w:numId w:val="0"/>
              </w:numPr>
              <w:ind w:leftChars="0"/>
              <w:rPr>
                <w:rFonts w:hint="eastAsia" w:ascii="宋体" w:hAnsi="宋体" w:eastAsia="宋体" w:cs="宋体"/>
                <w:highlight w:val="none"/>
                <w:lang w:eastAsia="zh-CN"/>
              </w:rPr>
            </w:pPr>
            <w:r>
              <w:rPr>
                <w:rFonts w:hint="eastAsia" w:ascii="宋体" w:hAnsi="宋体" w:eastAsia="宋体" w:cs="宋体"/>
                <w:highlight w:val="none"/>
                <w:lang w:val="en-US" w:eastAsia="zh-CN"/>
              </w:rPr>
              <w:t>3、电源电压：AC:100-240V，50/60Hz</w:t>
            </w:r>
          </w:p>
          <w:p>
            <w:pPr>
              <w:numPr>
                <w:ilvl w:val="0"/>
                <w:numId w:val="0"/>
              </w:numPr>
              <w:ind w:leftChars="0"/>
              <w:rPr>
                <w:rFonts w:hint="eastAsia" w:ascii="宋体" w:hAnsi="宋体" w:eastAsia="宋体" w:cs="宋体"/>
                <w:highlight w:val="none"/>
              </w:rPr>
            </w:pPr>
            <w:r>
              <w:rPr>
                <w:rFonts w:hint="eastAsia" w:ascii="宋体" w:hAnsi="宋体" w:eastAsia="宋体" w:cs="宋体"/>
                <w:highlight w:val="none"/>
                <w:lang w:val="en-US" w:eastAsia="zh-CN"/>
              </w:rPr>
              <w:t>4、固定端口：26千兆电（RJ45）+2千兆Combo；其中24个千兆电口支持POE供电</w:t>
            </w:r>
          </w:p>
          <w:p>
            <w:pPr>
              <w:numPr>
                <w:ilvl w:val="0"/>
                <w:numId w:val="0"/>
              </w:numPr>
              <w:ind w:leftChars="0"/>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工作温度：0℃～40℃；</w:t>
            </w:r>
          </w:p>
          <w:p>
            <w:pPr>
              <w:numPr>
                <w:ilvl w:val="0"/>
                <w:numId w:val="0"/>
              </w:numPr>
              <w:ind w:leftChars="0"/>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存储温度：-40℃～70℃；</w:t>
            </w:r>
          </w:p>
          <w:p>
            <w:pPr>
              <w:numPr>
                <w:ilvl w:val="0"/>
                <w:numId w:val="0"/>
              </w:numPr>
              <w:ind w:leftChars="0"/>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工作湿度：10%～90%RH，不凝露；</w:t>
            </w:r>
          </w:p>
          <w:p>
            <w:pPr>
              <w:numPr>
                <w:ilvl w:val="0"/>
                <w:numId w:val="0"/>
              </w:numPr>
              <w:ind w:leftChars="0"/>
              <w:rPr>
                <w:rFonts w:hint="eastAsia" w:ascii="宋体" w:hAnsi="宋体" w:eastAsia="宋体" w:cs="宋体"/>
                <w:highlight w:val="none"/>
              </w:rPr>
            </w:pPr>
            <w:r>
              <w:rPr>
                <w:rFonts w:hint="eastAsia" w:ascii="宋体" w:hAnsi="宋体" w:eastAsia="宋体" w:cs="宋体"/>
                <w:highlight w:val="none"/>
                <w:lang w:val="en-US" w:eastAsia="zh-CN"/>
              </w:rPr>
              <w:t>8、</w:t>
            </w:r>
            <w:r>
              <w:rPr>
                <w:rFonts w:hint="eastAsia" w:ascii="宋体" w:hAnsi="宋体" w:eastAsia="宋体" w:cs="宋体"/>
                <w:highlight w:val="none"/>
              </w:rPr>
              <w:t>存储湿度：5%～90%RH，不凝露；</w:t>
            </w:r>
          </w:p>
          <w:p>
            <w:pPr>
              <w:numPr>
                <w:ilvl w:val="0"/>
                <w:numId w:val="0"/>
              </w:numPr>
              <w:ind w:leftChars="0"/>
              <w:rPr>
                <w:rFonts w:hint="eastAsia" w:ascii="宋体" w:hAnsi="宋体" w:eastAsia="宋体" w:cs="宋体"/>
                <w:highlight w:val="none"/>
              </w:rPr>
            </w:pPr>
            <w:r>
              <w:rPr>
                <w:rFonts w:hint="eastAsia" w:ascii="宋体" w:hAnsi="宋体" w:eastAsia="宋体" w:cs="宋体"/>
                <w:highlight w:val="none"/>
                <w:lang w:val="en-US" w:eastAsia="zh-CN"/>
              </w:rPr>
              <w:t>9、</w:t>
            </w:r>
            <w:r>
              <w:rPr>
                <w:rFonts w:hint="eastAsia" w:ascii="宋体" w:hAnsi="宋体" w:eastAsia="宋体" w:cs="宋体"/>
                <w:highlight w:val="none"/>
              </w:rPr>
              <w:t>硬件尺寸：440mm（宽）×207mm（深）×44mm（高）</w:t>
            </w:r>
          </w:p>
          <w:p>
            <w:pPr>
              <w:numPr>
                <w:ilvl w:val="0"/>
                <w:numId w:val="0"/>
              </w:numPr>
              <w:ind w:leftChars="0"/>
              <w:rPr>
                <w:rFonts w:hint="eastAsia" w:ascii="宋体" w:hAnsi="宋体" w:eastAsia="宋体" w:cs="宋体"/>
                <w:highlight w:val="none"/>
              </w:rPr>
            </w:pPr>
            <w:r>
              <w:rPr>
                <w:rFonts w:hint="eastAsia" w:ascii="宋体" w:hAnsi="宋体" w:eastAsia="宋体" w:cs="宋体"/>
                <w:highlight w:val="none"/>
                <w:lang w:val="en-US" w:eastAsia="zh-CN"/>
              </w:rPr>
              <w:t>10、</w:t>
            </w:r>
            <w:r>
              <w:rPr>
                <w:rFonts w:hint="eastAsia" w:ascii="宋体" w:hAnsi="宋体" w:eastAsia="宋体" w:cs="宋体"/>
                <w:highlight w:val="none"/>
              </w:rPr>
              <w:t>重量： &lt;2.5kg；</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lang w:val="en-US" w:eastAsia="zh-CN"/>
              </w:rPr>
              <w:t>11、Poe：支持IEEE802.3AF、IEEE802.3AT标准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numPr>
                <w:ilvl w:val="0"/>
                <w:numId w:val="0"/>
              </w:numPr>
              <w:wordWrap/>
              <w:snapToGrid/>
              <w:spacing w:line="240" w:lineRule="auto"/>
              <w:ind w:leftChars="0"/>
              <w:jc w:val="both"/>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292" w:type="dxa"/>
            <w:vAlign w:val="center"/>
          </w:tcPr>
          <w:p>
            <w:pPr>
              <w:widowControl/>
              <w:wordWrap/>
              <w:adjustRightInd/>
              <w:snapToGrid/>
              <w:spacing w:line="240" w:lineRule="auto"/>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硬盘</w:t>
            </w:r>
          </w:p>
        </w:tc>
        <w:tc>
          <w:tcPr>
            <w:tcW w:w="7706" w:type="dxa"/>
            <w:vAlign w:val="top"/>
          </w:tcPr>
          <w:p>
            <w:pPr>
              <w:rPr>
                <w:rFonts w:hint="eastAsia" w:ascii="宋体" w:hAnsi="宋体" w:eastAsia="宋体" w:cs="宋体"/>
                <w:highlight w:val="none"/>
              </w:rPr>
            </w:pPr>
            <w:r>
              <w:rPr>
                <w:rFonts w:hint="eastAsia" w:ascii="宋体" w:hAnsi="宋体" w:eastAsia="宋体" w:cs="宋体"/>
                <w:highlight w:val="none"/>
              </w:rPr>
              <w:t>1、容量：6T</w:t>
            </w:r>
          </w:p>
          <w:p>
            <w:pPr>
              <w:rPr>
                <w:rFonts w:hint="eastAsia" w:ascii="宋体" w:hAnsi="宋体" w:eastAsia="宋体" w:cs="宋体"/>
                <w:highlight w:val="none"/>
              </w:rPr>
            </w:pPr>
            <w:r>
              <w:rPr>
                <w:rFonts w:hint="eastAsia" w:ascii="宋体" w:hAnsi="宋体" w:eastAsia="宋体" w:cs="宋体"/>
                <w:highlight w:val="none"/>
              </w:rPr>
              <w:t>2、硬盘转速</w:t>
            </w:r>
            <w:r>
              <w:rPr>
                <w:rFonts w:hint="eastAsia" w:ascii="宋体" w:hAnsi="宋体" w:eastAsia="宋体" w:cs="宋体"/>
                <w:highlight w:val="none"/>
                <w:lang w:eastAsia="zh-CN"/>
              </w:rPr>
              <w:t>：</w:t>
            </w:r>
            <w:r>
              <w:rPr>
                <w:rFonts w:hint="eastAsia" w:ascii="宋体" w:hAnsi="宋体" w:eastAsia="宋体" w:cs="宋体"/>
                <w:highlight w:val="none"/>
              </w:rPr>
              <w:t>5400转</w:t>
            </w:r>
          </w:p>
          <w:p>
            <w:pPr>
              <w:rPr>
                <w:rFonts w:hint="eastAsia" w:ascii="宋体" w:hAnsi="宋体" w:eastAsia="宋体" w:cs="宋体"/>
                <w:highlight w:val="none"/>
              </w:rPr>
            </w:pPr>
            <w:r>
              <w:rPr>
                <w:rFonts w:hint="eastAsia" w:ascii="宋体" w:hAnsi="宋体" w:eastAsia="宋体" w:cs="宋体"/>
                <w:highlight w:val="none"/>
              </w:rPr>
              <w:t>3、缓存容量</w:t>
            </w:r>
            <w:r>
              <w:rPr>
                <w:rFonts w:hint="eastAsia" w:ascii="宋体" w:hAnsi="宋体" w:eastAsia="宋体" w:cs="宋体"/>
                <w:highlight w:val="none"/>
                <w:lang w:eastAsia="zh-CN"/>
              </w:rPr>
              <w:t>：</w:t>
            </w:r>
            <w:r>
              <w:rPr>
                <w:rFonts w:hint="eastAsia" w:ascii="宋体" w:hAnsi="宋体" w:eastAsia="宋体" w:cs="宋体"/>
                <w:highlight w:val="none"/>
              </w:rPr>
              <w:t>64MB</w:t>
            </w:r>
          </w:p>
          <w:p>
            <w:pPr>
              <w:rPr>
                <w:rFonts w:hint="eastAsia" w:ascii="宋体" w:hAnsi="宋体" w:eastAsia="宋体" w:cs="宋体"/>
                <w:highlight w:val="none"/>
                <w:lang w:eastAsia="zh-CN"/>
              </w:rPr>
            </w:pPr>
            <w:r>
              <w:rPr>
                <w:rFonts w:hint="eastAsia" w:ascii="宋体" w:hAnsi="宋体" w:eastAsia="宋体" w:cs="宋体"/>
                <w:highlight w:val="none"/>
              </w:rPr>
              <w:t>4、尺寸</w:t>
            </w:r>
            <w:r>
              <w:rPr>
                <w:rFonts w:hint="eastAsia" w:ascii="宋体" w:hAnsi="宋体" w:eastAsia="宋体" w:cs="宋体"/>
                <w:highlight w:val="none"/>
                <w:lang w:eastAsia="zh-CN"/>
              </w:rPr>
              <w:t>：147mm长</w:t>
            </w:r>
            <w:r>
              <w:rPr>
                <w:rFonts w:hint="eastAsia" w:ascii="宋体" w:hAnsi="宋体" w:eastAsia="宋体" w:cs="宋体"/>
                <w:highlight w:val="none"/>
                <w:lang w:val="en-US" w:eastAsia="zh-CN"/>
              </w:rPr>
              <w:t>×</w:t>
            </w:r>
            <w:r>
              <w:rPr>
                <w:rFonts w:hint="eastAsia" w:ascii="宋体" w:hAnsi="宋体" w:eastAsia="宋体" w:cs="宋体"/>
                <w:highlight w:val="none"/>
                <w:lang w:eastAsia="zh-CN"/>
              </w:rPr>
              <w:t>101.6mm宽×26.1mm高</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5、接口：SATA 6GB/S</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lang w:val="en-US" w:eastAsia="zh-CN"/>
              </w:rPr>
              <w:t>6、工作负载：180TB/年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numPr>
                <w:ilvl w:val="0"/>
                <w:numId w:val="0"/>
              </w:numPr>
              <w:wordWrap/>
              <w:snapToGrid/>
              <w:spacing w:line="240" w:lineRule="auto"/>
              <w:ind w:leftChars="0"/>
              <w:jc w:val="both"/>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292" w:type="dxa"/>
            <w:vAlign w:val="center"/>
          </w:tcPr>
          <w:p>
            <w:pPr>
              <w:widowControl/>
              <w:wordWrap/>
              <w:adjustRightInd/>
              <w:snapToGrid/>
              <w:spacing w:line="240" w:lineRule="auto"/>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0"/>
                <w:w w:val="100"/>
                <w:kern w:val="2"/>
                <w:position w:val="0"/>
                <w:sz w:val="21"/>
                <w:szCs w:val="21"/>
                <w:highlight w:val="none"/>
                <w:u w:val="none"/>
                <w:shd w:val="clear" w:color="auto" w:fill="auto"/>
                <w:lang w:val="en-US" w:eastAsia="zh-CN" w:bidi="zh-TW"/>
              </w:rPr>
              <w:t>网络硬盘录像机</w:t>
            </w:r>
          </w:p>
        </w:tc>
        <w:tc>
          <w:tcPr>
            <w:tcW w:w="7706" w:type="dxa"/>
            <w:vAlign w:val="top"/>
          </w:tcPr>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1、视频解码：支持H.265、H.264 HP@L4、H.264 MP@L3</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2、解码能力：2 x 4K@30, 4 x 4MP@30, 8 x 1080p@30, 16 x 720p@30</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3、音频解码：G.711</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4、网络视频输入：最高可接入16路800万H.265或H.264相机</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5、网络视频接入带宽：160Mbps</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6、HDMI输出：1路</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7、HDMI分辨率：1024x768/60HZ、1280x720/60HZ、1280x1024/60HZ、1600x1200/60HZ、1920x1080/50HZ、1920x1080/60HZ、4K（3840x2160）/30HZ</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8、VGA输出：1路</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9、VGA分辨率：1024x768/60HZ、1280x720/60HZ、1280x1024/60HZ、1600x1200/60HZ、1920x1080/50HZ、1920x1080/60HZ</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10、音频输出：1路</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11、预览普通分屏：1/4/6/8/9/16</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12、预览走廊分屏：3/4/5/7/9/10/12/16</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13、语音对讲：1路，输出与音频输出复用</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14、录像分辨率：8MP/6MP/5MP/4MP/3MP/1080P/960P/720P/960H/D1/2CIF/CIF/QCIF</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15、同步回放：16路 </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16、回放模式：即时回放、普通回放、走廊回放、事件回放、标签回放、智能回放、图片回放、外部文件回放</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17、备份模式：常规备份、图片备份、录像剪辑备份</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18、硬盘驱动器类型：4个SATA接口</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19、硬盘驱动器容量：每个接口均支持500GB/1TB/2TB/3TB/4TB/5TB/6TB等容量硬盘</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20、网口：2个，RJ45 10M/100M/1000M自适应以太网电口</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21、USB接口：2个USB2.0，1个USB3.0</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22、电源：DC 12V</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23、功耗（不含硬盘）：&lt;15W</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24、工作温度：- 10°C ~ + 55°C</w:t>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25、工作湿度：10% ~ 90% （无冷凝）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gridSpan w:val="3"/>
            <w:vAlign w:val="center"/>
          </w:tcPr>
          <w:p>
            <w:pPr>
              <w:spacing w:before="100" w:after="100" w:line="240" w:lineRule="auto"/>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sz w:val="21"/>
                <w:szCs w:val="21"/>
                <w:highlight w:val="none"/>
                <w:lang w:val="en-US" w:eastAsia="zh-CN"/>
              </w:rPr>
              <w:t>五、安防</w:t>
            </w:r>
            <w:r>
              <w:rPr>
                <w:rFonts w:hint="eastAsia" w:ascii="宋体" w:hAnsi="宋体" w:eastAsia="宋体" w:cs="宋体"/>
                <w:b/>
                <w:sz w:val="21"/>
                <w:szCs w:val="21"/>
                <w:highlight w:val="none"/>
              </w:rPr>
              <w:t>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wordWrap/>
              <w:snapToGrid/>
              <w:spacing w:line="24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1292" w:type="dxa"/>
            <w:vAlign w:val="center"/>
          </w:tcPr>
          <w:p>
            <w:pPr>
              <w:widowControl/>
              <w:wordWrap/>
              <w:adjustRightInd/>
              <w:snapToGrid/>
              <w:spacing w:line="240" w:lineRule="auto"/>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报警主机</w:t>
            </w:r>
          </w:p>
        </w:tc>
        <w:tc>
          <w:tcPr>
            <w:tcW w:w="7706" w:type="dxa"/>
            <w:vAlign w:val="top"/>
          </w:tcPr>
          <w:p>
            <w:pPr>
              <w:rPr>
                <w:rFonts w:hint="eastAsia" w:ascii="宋体" w:hAnsi="宋体" w:eastAsia="宋体" w:cs="宋体"/>
                <w:highlight w:val="none"/>
              </w:rPr>
            </w:pPr>
            <w:r>
              <w:rPr>
                <w:rFonts w:hint="eastAsia" w:ascii="宋体" w:hAnsi="宋体" w:eastAsia="宋体" w:cs="宋体"/>
                <w:highlight w:val="none"/>
              </w:rPr>
              <w:t>1、电源：DC36V</w:t>
            </w:r>
          </w:p>
          <w:p>
            <w:pPr>
              <w:rPr>
                <w:rFonts w:hint="eastAsia" w:ascii="宋体" w:hAnsi="宋体" w:eastAsia="宋体" w:cs="宋体"/>
                <w:highlight w:val="none"/>
              </w:rPr>
            </w:pPr>
            <w:r>
              <w:rPr>
                <w:rFonts w:hint="eastAsia" w:ascii="宋体" w:hAnsi="宋体" w:eastAsia="宋体" w:cs="宋体"/>
                <w:highlight w:val="none"/>
              </w:rPr>
              <w:t>2、重量：＜0.5kg</w:t>
            </w:r>
          </w:p>
          <w:p>
            <w:pPr>
              <w:rPr>
                <w:rFonts w:hint="eastAsia" w:ascii="宋体" w:hAnsi="宋体" w:eastAsia="宋体" w:cs="宋体"/>
                <w:highlight w:val="none"/>
              </w:rPr>
            </w:pPr>
            <w:r>
              <w:rPr>
                <w:rFonts w:hint="eastAsia" w:ascii="宋体" w:hAnsi="宋体" w:eastAsia="宋体" w:cs="宋体"/>
                <w:highlight w:val="none"/>
              </w:rPr>
              <w:t>3、安装方式：壁挂</w:t>
            </w:r>
          </w:p>
          <w:p>
            <w:pPr>
              <w:rPr>
                <w:rFonts w:hint="eastAsia" w:ascii="宋体" w:hAnsi="宋体" w:eastAsia="宋体" w:cs="宋体"/>
                <w:highlight w:val="none"/>
                <w:lang w:val="en-US" w:eastAsia="zh-CN"/>
              </w:rPr>
            </w:pPr>
            <w:r>
              <w:rPr>
                <w:rFonts w:hint="eastAsia" w:ascii="宋体" w:hAnsi="宋体" w:eastAsia="宋体" w:cs="宋体"/>
                <w:highlight w:val="none"/>
              </w:rPr>
              <w:t>4、报警输入：8防区（红外、烟雾、震动、声光报警等）</w:t>
            </w:r>
            <w:r>
              <w:rPr>
                <w:rFonts w:hint="eastAsia" w:ascii="宋体" w:hAnsi="宋体" w:eastAsia="宋体" w:cs="宋体"/>
                <w:highlight w:val="none"/>
                <w:lang w:val="en-US" w:eastAsia="zh-CN"/>
              </w:rPr>
              <w:t xml:space="preserve"> </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wordWrap/>
              <w:snapToGrid/>
              <w:spacing w:line="24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292" w:type="dxa"/>
            <w:vAlign w:val="center"/>
          </w:tcPr>
          <w:p>
            <w:pPr>
              <w:widowControl/>
              <w:wordWrap/>
              <w:adjustRightInd/>
              <w:snapToGrid/>
              <w:spacing w:line="240" w:lineRule="auto"/>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红外微波三鉴探测器</w:t>
            </w:r>
          </w:p>
        </w:tc>
        <w:tc>
          <w:tcPr>
            <w:tcW w:w="7706"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highlight w:val="none"/>
              </w:rPr>
              <w:t>、</w:t>
            </w:r>
            <w:r>
              <w:rPr>
                <w:rFonts w:hint="eastAsia" w:ascii="宋体" w:hAnsi="宋体" w:eastAsia="宋体" w:cs="宋体"/>
                <w:kern w:val="2"/>
                <w:sz w:val="21"/>
                <w:szCs w:val="21"/>
                <w:highlight w:val="none"/>
                <w:lang w:val="en-US" w:eastAsia="zh-CN" w:bidi="ar-SA"/>
              </w:rPr>
              <w:t>工作电源：9-15VDC</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highlight w:val="none"/>
              </w:rPr>
              <w:t>、</w:t>
            </w:r>
            <w:r>
              <w:rPr>
                <w:rFonts w:hint="eastAsia" w:ascii="宋体" w:hAnsi="宋体" w:eastAsia="宋体" w:cs="宋体"/>
                <w:kern w:val="2"/>
                <w:sz w:val="21"/>
                <w:szCs w:val="21"/>
                <w:highlight w:val="none"/>
                <w:lang w:val="en-US" w:eastAsia="zh-CN" w:bidi="ar-SA"/>
              </w:rPr>
              <w:t>微波频率：10.525GHz</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r>
              <w:rPr>
                <w:rFonts w:hint="eastAsia" w:ascii="宋体" w:hAnsi="宋体" w:eastAsia="宋体" w:cs="宋体"/>
                <w:highlight w:val="none"/>
              </w:rPr>
              <w:t>、</w:t>
            </w:r>
            <w:r>
              <w:rPr>
                <w:rFonts w:hint="eastAsia" w:ascii="宋体" w:hAnsi="宋体" w:eastAsia="宋体" w:cs="宋体"/>
                <w:kern w:val="2"/>
                <w:sz w:val="21"/>
                <w:szCs w:val="21"/>
                <w:highlight w:val="none"/>
                <w:lang w:val="en-US" w:eastAsia="zh-CN" w:bidi="ar-SA"/>
              </w:rPr>
              <w:t>探测范围：11m×11m</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r>
              <w:rPr>
                <w:rFonts w:hint="eastAsia" w:ascii="宋体" w:hAnsi="宋体" w:eastAsia="宋体" w:cs="宋体"/>
                <w:highlight w:val="none"/>
              </w:rPr>
              <w:t>、</w:t>
            </w:r>
            <w:r>
              <w:rPr>
                <w:rFonts w:hint="eastAsia" w:ascii="宋体" w:hAnsi="宋体" w:eastAsia="宋体" w:cs="宋体"/>
                <w:kern w:val="2"/>
                <w:sz w:val="21"/>
                <w:szCs w:val="21"/>
                <w:highlight w:val="none"/>
                <w:lang w:val="en-US" w:eastAsia="zh-CN" w:bidi="ar-SA"/>
              </w:rPr>
              <w:t>断电器输出：接点间最大容量为28VDC/125mA</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r>
              <w:rPr>
                <w:rFonts w:hint="eastAsia" w:ascii="宋体" w:hAnsi="宋体" w:eastAsia="宋体" w:cs="宋体"/>
                <w:highlight w:val="none"/>
              </w:rPr>
              <w:t>、</w:t>
            </w:r>
            <w:r>
              <w:rPr>
                <w:rFonts w:hint="eastAsia" w:ascii="宋体" w:hAnsi="宋体" w:eastAsia="宋体" w:cs="宋体"/>
                <w:kern w:val="2"/>
                <w:sz w:val="21"/>
                <w:szCs w:val="21"/>
                <w:highlight w:val="none"/>
                <w:lang w:val="en-US" w:eastAsia="zh-CN" w:bidi="ar-SA"/>
              </w:rPr>
              <w:t>防拆输出：防拆回路连接24小时防区</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w:t>
            </w:r>
            <w:r>
              <w:rPr>
                <w:rFonts w:hint="eastAsia" w:ascii="宋体" w:hAnsi="宋体" w:eastAsia="宋体" w:cs="宋体"/>
                <w:highlight w:val="none"/>
              </w:rPr>
              <w:t>、</w:t>
            </w:r>
            <w:r>
              <w:rPr>
                <w:rFonts w:hint="eastAsia" w:ascii="宋体" w:hAnsi="宋体" w:eastAsia="宋体" w:cs="宋体"/>
                <w:kern w:val="2"/>
                <w:sz w:val="21"/>
                <w:szCs w:val="21"/>
                <w:highlight w:val="none"/>
                <w:lang w:val="en-US" w:eastAsia="zh-CN" w:bidi="ar-SA"/>
              </w:rPr>
              <w:t>工作温度：-10℃～50℃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wordWrap/>
              <w:snapToGrid/>
              <w:spacing w:line="24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292" w:type="dxa"/>
            <w:vAlign w:val="center"/>
          </w:tcPr>
          <w:p>
            <w:pPr>
              <w:widowControl/>
              <w:wordWrap/>
              <w:adjustRightInd/>
              <w:snapToGrid/>
              <w:spacing w:line="240" w:lineRule="auto"/>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震动探测器</w:t>
            </w:r>
          </w:p>
        </w:tc>
        <w:tc>
          <w:tcPr>
            <w:tcW w:w="7706"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1、供电电压：9-16VDC</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2、工作电流：15mA</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3、感应方式：声波感应</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4、灵敏度：可调节开关</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5、报警时间：2s</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6、报警触点：NC，12VDC，100mA max</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7、防拆触点：NC，12VDC，100mA max</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8、工作温度：-15-50℃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wordWrap/>
              <w:snapToGrid/>
              <w:spacing w:line="24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292" w:type="dxa"/>
            <w:vAlign w:val="center"/>
          </w:tcPr>
          <w:p>
            <w:pPr>
              <w:widowControl/>
              <w:wordWrap/>
              <w:adjustRightInd/>
              <w:snapToGrid/>
              <w:spacing w:line="240" w:lineRule="auto"/>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烟雾探测器</w:t>
            </w:r>
          </w:p>
        </w:tc>
        <w:tc>
          <w:tcPr>
            <w:tcW w:w="7706" w:type="dxa"/>
            <w:vAlign w:val="top"/>
          </w:tcPr>
          <w:p>
            <w:pPr>
              <w:rPr>
                <w:rFonts w:hint="eastAsia" w:ascii="宋体" w:hAnsi="宋体" w:eastAsia="宋体" w:cs="宋体"/>
                <w:highlight w:val="none"/>
              </w:rPr>
            </w:pPr>
            <w:r>
              <w:rPr>
                <w:rFonts w:hint="eastAsia" w:ascii="宋体" w:hAnsi="宋体" w:eastAsia="宋体" w:cs="宋体"/>
                <w:highlight w:val="none"/>
              </w:rPr>
              <w:t>1、工作电源：DC12V；</w:t>
            </w:r>
          </w:p>
          <w:p>
            <w:pPr>
              <w:rPr>
                <w:rFonts w:hint="eastAsia" w:ascii="宋体" w:hAnsi="宋体" w:eastAsia="宋体" w:cs="宋体"/>
                <w:highlight w:val="none"/>
              </w:rPr>
            </w:pPr>
            <w:r>
              <w:rPr>
                <w:rFonts w:hint="eastAsia" w:ascii="宋体" w:hAnsi="宋体" w:eastAsia="宋体" w:cs="宋体"/>
                <w:highlight w:val="none"/>
              </w:rPr>
              <w:t>2、连接方式：有线连接；</w:t>
            </w:r>
          </w:p>
          <w:p>
            <w:pPr>
              <w:rPr>
                <w:rFonts w:hint="eastAsia" w:ascii="宋体" w:hAnsi="宋体" w:eastAsia="宋体" w:cs="宋体"/>
                <w:highlight w:val="none"/>
              </w:rPr>
            </w:pPr>
            <w:r>
              <w:rPr>
                <w:rFonts w:hint="eastAsia" w:ascii="宋体" w:hAnsi="宋体" w:eastAsia="宋体" w:cs="宋体"/>
                <w:highlight w:val="none"/>
              </w:rPr>
              <w:t>3、报警分贝：116分贝；</w:t>
            </w:r>
          </w:p>
          <w:p>
            <w:pPr>
              <w:rPr>
                <w:rFonts w:hint="eastAsia" w:ascii="宋体" w:hAnsi="宋体" w:eastAsia="宋体" w:cs="宋体"/>
                <w:highlight w:val="none"/>
              </w:rPr>
            </w:pPr>
            <w:r>
              <w:rPr>
                <w:rFonts w:hint="eastAsia" w:ascii="宋体" w:hAnsi="宋体" w:eastAsia="宋体" w:cs="宋体"/>
                <w:highlight w:val="none"/>
              </w:rPr>
              <w:t>4、感应面积：40㎡；</w:t>
            </w:r>
          </w:p>
          <w:p>
            <w:pPr>
              <w:rPr>
                <w:rFonts w:hint="eastAsia" w:ascii="宋体" w:hAnsi="宋体" w:eastAsia="宋体" w:cs="宋体"/>
                <w:highlight w:val="none"/>
              </w:rPr>
            </w:pPr>
            <w:r>
              <w:rPr>
                <w:rFonts w:hint="eastAsia" w:ascii="宋体" w:hAnsi="宋体" w:eastAsia="宋体" w:cs="宋体"/>
                <w:highlight w:val="none"/>
              </w:rPr>
              <w:t>5、工作温度：-10℃～50℃；</w:t>
            </w:r>
          </w:p>
          <w:p>
            <w:pPr>
              <w:rPr>
                <w:rFonts w:hint="eastAsia" w:ascii="宋体" w:hAnsi="宋体" w:eastAsia="宋体" w:cs="宋体"/>
                <w:highlight w:val="none"/>
              </w:rPr>
            </w:pPr>
            <w:r>
              <w:rPr>
                <w:rFonts w:hint="eastAsia" w:ascii="宋体" w:hAnsi="宋体" w:eastAsia="宋体" w:cs="宋体"/>
                <w:highlight w:val="none"/>
              </w:rPr>
              <w:t>6、工作湿度：10%RH～90%RH；</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rPr>
              <w:t>7、灵敏度：符合UL217号标准报警指示；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wordWrap/>
              <w:snapToGrid/>
              <w:spacing w:line="24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292" w:type="dxa"/>
            <w:vAlign w:val="center"/>
          </w:tcPr>
          <w:p>
            <w:pPr>
              <w:widowControl/>
              <w:wordWrap/>
              <w:adjustRightInd/>
              <w:snapToGrid/>
              <w:spacing w:line="240" w:lineRule="auto"/>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t>声光报警器</w:t>
            </w:r>
          </w:p>
        </w:tc>
        <w:tc>
          <w:tcPr>
            <w:tcW w:w="7706" w:type="dxa"/>
            <w:vAlign w:val="top"/>
          </w:tcPr>
          <w:p>
            <w:pPr>
              <w:rPr>
                <w:rFonts w:hint="eastAsia" w:ascii="宋体" w:hAnsi="宋体" w:eastAsia="宋体" w:cs="宋体"/>
                <w:highlight w:val="none"/>
              </w:rPr>
            </w:pPr>
            <w:r>
              <w:rPr>
                <w:rFonts w:hint="eastAsia" w:ascii="宋体" w:hAnsi="宋体" w:eastAsia="宋体" w:cs="宋体"/>
                <w:highlight w:val="none"/>
              </w:rPr>
              <w:t>1、工作电压：DC9-16V</w:t>
            </w:r>
          </w:p>
          <w:p>
            <w:pPr>
              <w:rPr>
                <w:rFonts w:hint="eastAsia" w:ascii="宋体" w:hAnsi="宋体" w:eastAsia="宋体" w:cs="宋体"/>
                <w:highlight w:val="none"/>
              </w:rPr>
            </w:pPr>
            <w:r>
              <w:rPr>
                <w:rFonts w:hint="eastAsia" w:ascii="宋体" w:hAnsi="宋体" w:eastAsia="宋体" w:cs="宋体"/>
                <w:highlight w:val="none"/>
              </w:rPr>
              <w:t>2、报警声强度：120db报警声</w:t>
            </w:r>
          </w:p>
          <w:p>
            <w:pPr>
              <w:rPr>
                <w:rFonts w:hint="eastAsia" w:ascii="宋体" w:hAnsi="宋体" w:eastAsia="宋体" w:cs="宋体"/>
                <w:highlight w:val="none"/>
              </w:rPr>
            </w:pPr>
            <w:r>
              <w:rPr>
                <w:rFonts w:hint="eastAsia" w:ascii="宋体" w:hAnsi="宋体" w:eastAsia="宋体" w:cs="宋体"/>
                <w:highlight w:val="none"/>
              </w:rPr>
              <w:t>3、闪光频率：150次/分钟</w:t>
            </w:r>
          </w:p>
          <w:p>
            <w:pPr>
              <w:rPr>
                <w:rFonts w:hint="eastAsia" w:ascii="宋体" w:hAnsi="宋体" w:eastAsia="宋体" w:cs="宋体"/>
                <w:highlight w:val="none"/>
              </w:rPr>
            </w:pPr>
            <w:r>
              <w:rPr>
                <w:rFonts w:hint="eastAsia" w:ascii="宋体" w:hAnsi="宋体" w:eastAsia="宋体" w:cs="宋体"/>
                <w:highlight w:val="none"/>
              </w:rPr>
              <w:t>4、安装方式：壁挂</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rPr>
              <w:t>5、控制方式：开关信号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wordWrap/>
              <w:snapToGrid/>
              <w:spacing w:line="24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6</w:t>
            </w:r>
          </w:p>
        </w:tc>
        <w:tc>
          <w:tcPr>
            <w:tcW w:w="1292" w:type="dxa"/>
            <w:vAlign w:val="center"/>
          </w:tcPr>
          <w:p>
            <w:pPr>
              <w:pStyle w:val="70"/>
              <w:widowControl w:val="0"/>
              <w:shd w:val="clear" w:color="auto" w:fill="auto"/>
              <w:spacing w:before="0" w:after="0" w:line="240" w:lineRule="auto"/>
              <w:ind w:right="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000000"/>
                <w:spacing w:val="0"/>
                <w:w w:val="100"/>
                <w:position w:val="0"/>
                <w:sz w:val="21"/>
                <w:szCs w:val="21"/>
                <w:highlight w:val="none"/>
                <w:lang w:val="en-US" w:eastAsia="zh-CN"/>
              </w:rPr>
              <w:t>温湿度传感器</w:t>
            </w:r>
          </w:p>
        </w:tc>
        <w:tc>
          <w:tcPr>
            <w:tcW w:w="7706" w:type="dxa"/>
            <w:vAlign w:val="top"/>
          </w:tcPr>
          <w:p>
            <w:pPr>
              <w:rPr>
                <w:rFonts w:hint="eastAsia" w:ascii="宋体" w:hAnsi="宋体" w:eastAsia="宋体" w:cs="宋体"/>
                <w:highlight w:val="none"/>
              </w:rPr>
            </w:pPr>
            <w:r>
              <w:rPr>
                <w:rFonts w:hint="eastAsia" w:ascii="宋体" w:hAnsi="宋体" w:eastAsia="宋体" w:cs="宋体"/>
                <w:highlight w:val="none"/>
              </w:rPr>
              <w:t>1、供电电压：3.3-5.5V</w:t>
            </w:r>
          </w:p>
          <w:p>
            <w:pPr>
              <w:rPr>
                <w:rFonts w:hint="eastAsia" w:ascii="宋体" w:hAnsi="宋体" w:eastAsia="宋体" w:cs="宋体"/>
                <w:highlight w:val="none"/>
              </w:rPr>
            </w:pPr>
            <w:r>
              <w:rPr>
                <w:rFonts w:hint="eastAsia" w:ascii="宋体" w:hAnsi="宋体" w:eastAsia="宋体" w:cs="宋体"/>
                <w:highlight w:val="none"/>
              </w:rPr>
              <w:t>2、工作电流：1.5ma(3.3V)</w:t>
            </w:r>
          </w:p>
          <w:p>
            <w:pPr>
              <w:rPr>
                <w:rFonts w:hint="eastAsia" w:ascii="宋体" w:hAnsi="宋体" w:eastAsia="宋体" w:cs="宋体"/>
                <w:highlight w:val="none"/>
              </w:rPr>
            </w:pPr>
            <w:r>
              <w:rPr>
                <w:rFonts w:hint="eastAsia" w:ascii="宋体" w:hAnsi="宋体" w:eastAsia="宋体" w:cs="宋体"/>
                <w:highlight w:val="none"/>
              </w:rPr>
              <w:t>3、温度分辨率：0.1℃</w:t>
            </w:r>
          </w:p>
          <w:p>
            <w:pPr>
              <w:rPr>
                <w:rFonts w:hint="eastAsia" w:ascii="宋体" w:hAnsi="宋体" w:eastAsia="宋体" w:cs="宋体"/>
                <w:highlight w:val="none"/>
              </w:rPr>
            </w:pPr>
            <w:r>
              <w:rPr>
                <w:rFonts w:hint="eastAsia" w:ascii="宋体" w:hAnsi="宋体" w:eastAsia="宋体" w:cs="宋体"/>
                <w:highlight w:val="none"/>
              </w:rPr>
              <w:t>4、温度量程：-40到80℃</w:t>
            </w:r>
          </w:p>
          <w:p>
            <w:pPr>
              <w:rPr>
                <w:rFonts w:hint="eastAsia" w:ascii="宋体" w:hAnsi="宋体" w:eastAsia="宋体" w:cs="宋体"/>
                <w:highlight w:val="none"/>
              </w:rPr>
            </w:pPr>
            <w:r>
              <w:rPr>
                <w:rFonts w:hint="eastAsia" w:ascii="宋体" w:hAnsi="宋体" w:eastAsia="宋体" w:cs="宋体"/>
                <w:highlight w:val="none"/>
              </w:rPr>
              <w:t>5、温度精度：±0.5℃</w:t>
            </w:r>
          </w:p>
          <w:p>
            <w:pPr>
              <w:rPr>
                <w:rFonts w:hint="eastAsia" w:ascii="宋体" w:hAnsi="宋体" w:eastAsia="宋体" w:cs="宋体"/>
                <w:highlight w:val="none"/>
              </w:rPr>
            </w:pPr>
            <w:r>
              <w:rPr>
                <w:rFonts w:hint="eastAsia" w:ascii="宋体" w:hAnsi="宋体" w:eastAsia="宋体" w:cs="宋体"/>
                <w:highlight w:val="none"/>
              </w:rPr>
              <w:t>6、湿度分辨率：0.1 %RH</w:t>
            </w:r>
          </w:p>
          <w:p>
            <w:pPr>
              <w:rPr>
                <w:rFonts w:hint="eastAsia" w:ascii="宋体" w:hAnsi="宋体" w:eastAsia="宋体" w:cs="宋体"/>
                <w:highlight w:val="none"/>
              </w:rPr>
            </w:pPr>
            <w:r>
              <w:rPr>
                <w:rFonts w:hint="eastAsia" w:ascii="宋体" w:hAnsi="宋体" w:eastAsia="宋体" w:cs="宋体"/>
                <w:highlight w:val="none"/>
              </w:rPr>
              <w:t>7、湿度量程：0到99.9%RH</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rPr>
              <w:t>8、湿度精度：±3%RH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gridSpan w:val="3"/>
            <w:vAlign w:val="center"/>
          </w:tcPr>
          <w:p>
            <w:pPr>
              <w:pStyle w:val="2"/>
              <w:widowControl w:val="0"/>
              <w:numPr>
                <w:ilvl w:val="0"/>
                <w:numId w:val="0"/>
              </w:numPr>
              <w:wordWrap/>
              <w:adjustRightInd/>
              <w:snapToGri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六、其他配套产品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14" w:type="dxa"/>
            <w:vAlign w:val="center"/>
          </w:tcPr>
          <w:p>
            <w:pPr>
              <w:wordWrap/>
              <w:snapToGrid/>
              <w:spacing w:line="240" w:lineRule="auto"/>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p>
        </w:tc>
        <w:tc>
          <w:tcPr>
            <w:tcW w:w="1292" w:type="dxa"/>
            <w:vAlign w:val="center"/>
          </w:tcPr>
          <w:p>
            <w:pPr>
              <w:wordWrap/>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网络交换机</w:t>
            </w:r>
          </w:p>
        </w:tc>
        <w:tc>
          <w:tcPr>
            <w:tcW w:w="7706" w:type="dxa"/>
            <w:vAlign w:val="center"/>
          </w:tcPr>
          <w:p>
            <w:pPr>
              <w:widowControl w:val="0"/>
              <w:wordWrap/>
              <w:adjustRightInd/>
              <w:snapToGrid/>
              <w:spacing w:line="240" w:lineRule="auto"/>
              <w:textAlignment w:val="auto"/>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 xml:space="preserve">1、端口：16*10/100/1000Mbps(RJ45) </w:t>
            </w:r>
          </w:p>
          <w:p>
            <w:pPr>
              <w:widowControl w:val="0"/>
              <w:wordWrap/>
              <w:adjustRightInd/>
              <w:snapToGrid/>
              <w:spacing w:line="240" w:lineRule="auto"/>
              <w:textAlignment w:val="auto"/>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2、网络标准：IEEE 802.3、IEEE 802.3u、IEEE 802.3z、IEEE 802.3x、IEEE802.3az 、IEEE802.3ab</w:t>
            </w:r>
          </w:p>
          <w:p>
            <w:pPr>
              <w:widowControl w:val="0"/>
              <w:wordWrap/>
              <w:adjustRightInd/>
              <w:snapToGrid/>
              <w:spacing w:line="240" w:lineRule="auto"/>
              <w:textAlignment w:val="auto"/>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3、交换容量：32Gbps</w:t>
            </w:r>
          </w:p>
          <w:p>
            <w:pPr>
              <w:widowControl w:val="0"/>
              <w:wordWrap/>
              <w:adjustRightInd/>
              <w:snapToGrid/>
              <w:spacing w:line="240" w:lineRule="auto"/>
              <w:textAlignment w:val="auto"/>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4、包转发率：23.8Mpps</w:t>
            </w:r>
          </w:p>
          <w:p>
            <w:pPr>
              <w:widowControl w:val="0"/>
              <w:wordWrap/>
              <w:adjustRightInd/>
              <w:snapToGrid/>
              <w:spacing w:line="240" w:lineRule="auto"/>
              <w:textAlignment w:val="auto"/>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5、尺寸：280*180*44mm</w:t>
            </w:r>
          </w:p>
          <w:p>
            <w:pPr>
              <w:widowControl w:val="0"/>
              <w:wordWrap/>
              <w:adjustRightInd/>
              <w:snapToGrid/>
              <w:spacing w:line="240" w:lineRule="auto"/>
              <w:textAlignment w:val="auto"/>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6、重量：&lt;2.5kg</w:t>
            </w:r>
          </w:p>
          <w:p>
            <w:pPr>
              <w:widowControl w:val="0"/>
              <w:wordWrap/>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pacing w:val="0"/>
                <w:w w:val="100"/>
                <w:position w:val="0"/>
                <w:sz w:val="21"/>
                <w:szCs w:val="21"/>
                <w:highlight w:val="none"/>
                <w:lang w:val="en-US" w:eastAsia="zh-CN"/>
              </w:rPr>
              <w:t>7、电源：100~240VAC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wordWrap/>
              <w:snapToGrid/>
              <w:spacing w:line="240" w:lineRule="auto"/>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p>
        </w:tc>
        <w:tc>
          <w:tcPr>
            <w:tcW w:w="1292" w:type="dxa"/>
            <w:vAlign w:val="center"/>
          </w:tcPr>
          <w:p>
            <w:pPr>
              <w:spacing w:line="240" w:lineRule="auto"/>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sz w:val="21"/>
                <w:szCs w:val="21"/>
                <w:highlight w:val="none"/>
              </w:rPr>
              <w:t>UPS电源</w:t>
            </w:r>
          </w:p>
        </w:tc>
        <w:tc>
          <w:tcPr>
            <w:tcW w:w="7706" w:type="dxa"/>
            <w:vAlign w:val="top"/>
          </w:tcPr>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1、供电电压：220VAC 漏电保护器输入</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2、输出电压电流：最大10A 12V</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3、备用电池：12.6V 10.4AH</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4、温度传感器：-40到80℃ 精度0.5℃</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5、湿度传感器：0到99.9%RH,正负3%RH</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6、通讯输出485：6路</w:t>
            </w:r>
          </w:p>
          <w:p>
            <w:pP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auto"/>
                <w:highlight w:val="none"/>
                <w:lang w:eastAsia="zh-CN"/>
              </w:rPr>
              <w:t>7、功能：支持电量检测,充放电管理,温湿度检测,RS485通讯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wordWrap/>
              <w:snapToGrid/>
              <w:spacing w:line="240" w:lineRule="auto"/>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w:t>
            </w:r>
          </w:p>
        </w:tc>
        <w:tc>
          <w:tcPr>
            <w:tcW w:w="1292" w:type="dxa"/>
            <w:vAlign w:val="center"/>
          </w:tcPr>
          <w:p>
            <w:pPr>
              <w:spacing w:line="240" w:lineRule="auto"/>
              <w:jc w:val="cente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sz w:val="21"/>
                <w:szCs w:val="21"/>
                <w:highlight w:val="none"/>
                <w:lang w:val="en-US" w:eastAsia="zh-CN"/>
              </w:rPr>
              <w:t>网络</w:t>
            </w:r>
            <w:r>
              <w:rPr>
                <w:rFonts w:hint="eastAsia" w:ascii="宋体" w:hAnsi="宋体" w:eastAsia="宋体" w:cs="宋体"/>
                <w:sz w:val="21"/>
                <w:szCs w:val="21"/>
                <w:highlight w:val="none"/>
              </w:rPr>
              <w:t>机柜</w:t>
            </w:r>
          </w:p>
        </w:tc>
        <w:tc>
          <w:tcPr>
            <w:tcW w:w="7706" w:type="dxa"/>
            <w:vAlign w:val="top"/>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1、尺寸：1200mm×600mm×600mm</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2、高度：22U</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3、标准：兼容ETSI标准，符合1EC297-2等标准</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4、材料：SPCC优质冷轧钢，表面处理采用脱脂、酸洗磷化静电喷塑</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5、配套设施：螺丝（30套）、托盘（1块）、风扇（2个）、电源（1个）</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6、厚度：钢板：1.3mm立柱2.0mm</w:t>
            </w:r>
          </w:p>
          <w:p>
            <w:pPr>
              <w:rPr>
                <w:rFonts w:hint="eastAsia" w:ascii="宋体" w:hAnsi="宋体" w:eastAsia="宋体" w:cs="宋体"/>
                <w:color w:val="000000"/>
                <w:spacing w:val="0"/>
                <w:w w:val="100"/>
                <w:position w:val="0"/>
                <w:sz w:val="21"/>
                <w:szCs w:val="21"/>
                <w:highlight w:val="none"/>
                <w:lang w:val="en-US" w:eastAsia="zh-CN"/>
              </w:rPr>
            </w:pPr>
            <w:r>
              <w:rPr>
                <w:rFonts w:hint="eastAsia" w:ascii="宋体" w:hAnsi="宋体" w:eastAsia="宋体" w:cs="宋体"/>
                <w:color w:val="auto"/>
                <w:highlight w:val="none"/>
                <w:lang w:val="en-US" w:eastAsia="zh-CN"/>
              </w:rPr>
              <w:t>7、立柱距离：485mm(19英寸标准）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wordWrap/>
              <w:snapToGrid/>
              <w:spacing w:line="240" w:lineRule="auto"/>
              <w:jc w:val="center"/>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w:t>
            </w:r>
          </w:p>
        </w:tc>
        <w:tc>
          <w:tcPr>
            <w:tcW w:w="1292" w:type="dxa"/>
            <w:vAlign w:val="center"/>
          </w:tcPr>
          <w:p>
            <w:pPr>
              <w:pStyle w:val="70"/>
              <w:widowControl w:val="0"/>
              <w:shd w:val="clear" w:color="auto" w:fill="auto"/>
              <w:spacing w:before="0" w:after="0" w:line="240" w:lineRule="auto"/>
              <w:ind w:right="0"/>
              <w:jc w:val="center"/>
              <w:rPr>
                <w:rFonts w:hint="eastAsia" w:ascii="宋体" w:hAnsi="宋体" w:eastAsia="宋体" w:cs="宋体"/>
                <w:color w:val="000000"/>
                <w:spacing w:val="0"/>
                <w:w w:val="100"/>
                <w:kern w:val="2"/>
                <w:position w:val="0"/>
                <w:sz w:val="21"/>
                <w:szCs w:val="21"/>
                <w:highlight w:val="none"/>
                <w:u w:val="none"/>
                <w:shd w:val="clear" w:color="auto" w:fill="auto"/>
                <w:lang w:val="en-US" w:eastAsia="zh-CN" w:bidi="zh-TW"/>
              </w:rPr>
            </w:pPr>
            <w:r>
              <w:rPr>
                <w:rFonts w:hint="eastAsia" w:ascii="宋体" w:hAnsi="宋体" w:eastAsia="宋体" w:cs="宋体"/>
                <w:color w:val="000000"/>
                <w:spacing w:val="0"/>
                <w:w w:val="100"/>
                <w:position w:val="0"/>
                <w:sz w:val="21"/>
                <w:szCs w:val="21"/>
                <w:highlight w:val="none"/>
                <w:lang w:val="en-US" w:eastAsia="zh-CN"/>
              </w:rPr>
              <w:t>短信猫</w:t>
            </w:r>
          </w:p>
        </w:tc>
        <w:tc>
          <w:tcPr>
            <w:tcW w:w="7706" w:type="dxa"/>
            <w:vAlign w:val="top"/>
          </w:tcPr>
          <w:p>
            <w:pPr>
              <w:pStyle w:val="2"/>
              <w:widowControl w:val="0"/>
              <w:numPr>
                <w:ilvl w:val="0"/>
                <w:numId w:val="0"/>
              </w:numPr>
              <w:wordWrap/>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1、工业标准：双频GSM调制解调器（EGSM900/1800MHz或EGSM900/1900MHz）</w:t>
            </w:r>
          </w:p>
          <w:p>
            <w:pPr>
              <w:pStyle w:val="2"/>
              <w:widowControl w:val="0"/>
              <w:numPr>
                <w:ilvl w:val="0"/>
                <w:numId w:val="0"/>
              </w:numPr>
              <w:wordWrap/>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2、输出功率：1W~2W</w:t>
            </w:r>
          </w:p>
          <w:p>
            <w:pPr>
              <w:pStyle w:val="2"/>
              <w:widowControl w:val="0"/>
              <w:numPr>
                <w:ilvl w:val="0"/>
                <w:numId w:val="0"/>
              </w:numPr>
              <w:wordWrap/>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3、输出电压：5V</w:t>
            </w:r>
          </w:p>
          <w:p>
            <w:pPr>
              <w:pStyle w:val="2"/>
              <w:widowControl w:val="0"/>
              <w:numPr>
                <w:ilvl w:val="0"/>
                <w:numId w:val="0"/>
              </w:numPr>
              <w:wordWrap/>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4、输入电流：5mA 待机状态，140mA在GSM900MHz@12V通话状态</w:t>
            </w:r>
          </w:p>
          <w:p>
            <w:pPr>
              <w:pStyle w:val="2"/>
              <w:widowControl w:val="0"/>
              <w:numPr>
                <w:ilvl w:val="0"/>
                <w:numId w:val="0"/>
              </w:numPr>
              <w:wordWrap/>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5、温度范围：-20℃+/-55℃工作状态</w:t>
            </w:r>
          </w:p>
          <w:p>
            <w:pPr>
              <w:pStyle w:val="2"/>
              <w:widowControl w:val="0"/>
              <w:numPr>
                <w:ilvl w:val="0"/>
                <w:numId w:val="0"/>
              </w:numPr>
              <w:wordWrap/>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6、尺寸大小：98mm×54mm×25mm</w:t>
            </w:r>
          </w:p>
          <w:p>
            <w:pPr>
              <w:pStyle w:val="2"/>
              <w:widowControl w:val="0"/>
              <w:numPr>
                <w:ilvl w:val="0"/>
                <w:numId w:val="0"/>
              </w:numPr>
              <w:wordWrap/>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7、产品重量：130克</w:t>
            </w:r>
          </w:p>
          <w:p>
            <w:pPr>
              <w:pStyle w:val="2"/>
              <w:widowControl w:val="0"/>
              <w:numPr>
                <w:ilvl w:val="0"/>
                <w:numId w:val="0"/>
              </w:numPr>
              <w:wordWrap/>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8、短信性能：收发短信700条/小时，约4–5秒/条</w:t>
            </w:r>
          </w:p>
          <w:p>
            <w:pPr>
              <w:pStyle w:val="2"/>
              <w:widowControl w:val="0"/>
              <w:numPr>
                <w:ilvl w:val="0"/>
                <w:numId w:val="0"/>
              </w:numPr>
              <w:wordWrap/>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9、产品类型：GSM/GPRS/CDMA MODEM</w:t>
            </w:r>
          </w:p>
          <w:p>
            <w:pPr>
              <w:pStyle w:val="2"/>
              <w:widowControl w:val="0"/>
              <w:numPr>
                <w:ilvl w:val="0"/>
                <w:numId w:val="0"/>
              </w:numPr>
              <w:wordWrap/>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10、支持频段：900MHz/1800MHz</w:t>
            </w:r>
          </w:p>
          <w:p>
            <w:pPr>
              <w:pStyle w:val="2"/>
              <w:widowControl w:val="0"/>
              <w:numPr>
                <w:ilvl w:val="0"/>
                <w:numId w:val="0"/>
              </w:numPr>
              <w:wordWrap/>
              <w:adjustRightInd/>
              <w:snapToGrid/>
              <w:spacing w:line="24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11、供电：DC5V 1A</w:t>
            </w:r>
            <w:r>
              <w:rPr>
                <w:rFonts w:hint="eastAsia" w:ascii="宋体" w:hAnsi="宋体" w:eastAsia="宋体" w:cs="宋体"/>
                <w:color w:val="auto"/>
                <w:kern w:val="2"/>
                <w:sz w:val="21"/>
                <w:szCs w:val="21"/>
                <w:highlight w:val="none"/>
                <w:lang w:val="en-US" w:eastAsia="zh-CN" w:bidi="ar-SA"/>
              </w:rPr>
              <w:tab/>
            </w:r>
          </w:p>
          <w:p>
            <w:pPr>
              <w:pStyle w:val="2"/>
              <w:widowControl w:val="0"/>
              <w:numPr>
                <w:ilvl w:val="0"/>
                <w:numId w:val="0"/>
              </w:numPr>
              <w:wordWrap/>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12、接口：滑入式SIM卡存储器，USB接口</w:t>
            </w:r>
          </w:p>
        </w:tc>
      </w:tr>
    </w:tbl>
    <w:p>
      <w:pPr>
        <w:numPr>
          <w:ilvl w:val="0"/>
          <w:numId w:val="0"/>
        </w:numPr>
        <w:ind w:leftChars="200"/>
        <w:rPr>
          <w:rFonts w:hint="default"/>
          <w:lang w:val="en-US" w:eastAsia="zh-CN"/>
        </w:rPr>
      </w:pPr>
    </w:p>
    <w:p>
      <w:pPr>
        <w:widowControl/>
        <w:numPr>
          <w:ilvl w:val="0"/>
          <w:numId w:val="10"/>
        </w:numPr>
        <w:spacing w:beforeLines="150" w:afterLines="50" w:line="360" w:lineRule="auto"/>
        <w:ind w:left="0" w:leftChars="0" w:firstLine="562" w:firstLineChars="200"/>
        <w:outlineLvl w:val="0"/>
        <w:rPr>
          <w:rFonts w:hint="eastAsia" w:ascii="宋体" w:hAnsi="宋体" w:cs="宋体"/>
          <w:bCs/>
          <w:sz w:val="28"/>
          <w:szCs w:val="28"/>
        </w:rPr>
      </w:pPr>
      <w:r>
        <w:rPr>
          <w:rFonts w:hint="eastAsia" w:ascii="宋体" w:hAnsi="宋体" w:eastAsia="宋体" w:cs="宋体"/>
          <w:b/>
          <w:bCs/>
          <w:sz w:val="28"/>
          <w:szCs w:val="28"/>
          <w:lang w:val="en-US" w:eastAsia="zh-CN"/>
        </w:rPr>
        <w:t>供货周期：</w:t>
      </w:r>
      <w:r>
        <w:rPr>
          <w:rFonts w:hint="eastAsia" w:ascii="宋体" w:hAnsi="宋体" w:cs="宋体"/>
          <w:bCs/>
          <w:sz w:val="28"/>
          <w:szCs w:val="28"/>
          <w:lang w:eastAsia="zh-CN"/>
        </w:rPr>
        <w:t>合同签订后20天</w:t>
      </w:r>
      <w:r>
        <w:rPr>
          <w:rFonts w:hint="eastAsia" w:ascii="宋体" w:hAnsi="宋体" w:cs="宋体"/>
          <w:bCs/>
          <w:sz w:val="28"/>
          <w:szCs w:val="28"/>
        </w:rPr>
        <w:t>必须将所有采购的货物送达采购人指定地点，并负责安装调试完毕。</w:t>
      </w:r>
    </w:p>
    <w:p>
      <w:pPr>
        <w:widowControl/>
        <w:numPr>
          <w:ilvl w:val="0"/>
          <w:numId w:val="0"/>
        </w:numPr>
        <w:spacing w:beforeLines="150" w:afterLines="50" w:line="360" w:lineRule="auto"/>
        <w:ind w:firstLine="562" w:firstLineChars="200"/>
        <w:outlineLvl w:val="0"/>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四</w:t>
      </w:r>
      <w:r>
        <w:rPr>
          <w:rFonts w:hint="eastAsia" w:ascii="宋体" w:hAnsi="宋体" w:eastAsia="宋体" w:cs="宋体"/>
          <w:b/>
          <w:bCs/>
          <w:kern w:val="2"/>
          <w:sz w:val="28"/>
          <w:szCs w:val="28"/>
          <w:lang w:val="en-US" w:eastAsia="zh-CN" w:bidi="ar-SA"/>
        </w:rPr>
        <w:t>、售后服务</w:t>
      </w:r>
    </w:p>
    <w:p>
      <w:pPr>
        <w:pStyle w:val="3"/>
        <w:ind w:left="0" w:firstLine="560" w:firstLineChars="200"/>
        <w:jc w:val="both"/>
        <w:rPr>
          <w:rFonts w:ascii="宋体" w:hAnsi="宋体" w:eastAsia="宋体" w:cs="宋体"/>
          <w:bCs/>
          <w:smallCaps w:val="0"/>
          <w:kern w:val="2"/>
          <w:sz w:val="28"/>
          <w:szCs w:val="28"/>
        </w:rPr>
      </w:pPr>
      <w:r>
        <w:rPr>
          <w:rFonts w:hint="eastAsia" w:ascii="宋体" w:hAnsi="宋体" w:eastAsia="宋体" w:cs="宋体"/>
          <w:bCs/>
          <w:smallCaps w:val="0"/>
          <w:kern w:val="2"/>
          <w:sz w:val="28"/>
          <w:szCs w:val="28"/>
        </w:rPr>
        <w:t>所有设备质保期为验收合格后1年。</w:t>
      </w:r>
    </w:p>
    <w:p>
      <w:pPr>
        <w:pStyle w:val="18"/>
        <w:numPr>
          <w:ilvl w:val="0"/>
          <w:numId w:val="0"/>
        </w:numPr>
        <w:ind w:leftChars="200"/>
      </w:pPr>
    </w:p>
    <w:p>
      <w:pPr>
        <w:pStyle w:val="2"/>
        <w:numPr>
          <w:ilvl w:val="0"/>
          <w:numId w:val="0"/>
        </w:numPr>
        <w:spacing w:line="360" w:lineRule="auto"/>
        <w:ind w:firstLine="562" w:firstLineChars="200"/>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五</w:t>
      </w:r>
      <w:r>
        <w:rPr>
          <w:rFonts w:hint="eastAsia" w:ascii="宋体" w:hAnsi="宋体" w:eastAsia="宋体" w:cs="宋体"/>
          <w:b/>
          <w:bCs/>
          <w:kern w:val="2"/>
          <w:sz w:val="28"/>
          <w:szCs w:val="28"/>
          <w:lang w:val="en-US" w:eastAsia="zh-CN" w:bidi="ar-SA"/>
        </w:rPr>
        <w:t>、付款方式</w:t>
      </w:r>
    </w:p>
    <w:p>
      <w:pPr>
        <w:spacing w:line="240" w:lineRule="auto"/>
        <w:ind w:firstLine="560" w:firstLineChars="200"/>
        <w:jc w:val="center"/>
        <w:outlineLvl w:val="0"/>
        <w:rPr>
          <w:rFonts w:hint="eastAsia" w:ascii="宋体" w:hAnsi="宋体"/>
          <w:b/>
          <w:color w:val="auto"/>
          <w:spacing w:val="12"/>
          <w:sz w:val="28"/>
          <w:szCs w:val="28"/>
          <w:highlight w:val="none"/>
        </w:rPr>
      </w:pPr>
      <w:r>
        <w:rPr>
          <w:rFonts w:hint="eastAsia" w:ascii="宋体" w:hAnsi="宋体" w:cs="宋体"/>
          <w:bCs/>
          <w:sz w:val="28"/>
          <w:szCs w:val="28"/>
          <w:highlight w:val="none"/>
        </w:rPr>
        <w:t>所有设备安装调试完毕，验收合格后，按县财政拨付资金进度付款。</w:t>
      </w:r>
      <w:r>
        <w:rPr>
          <w:rFonts w:hint="eastAsia" w:ascii="华文中宋" w:hAnsi="华文中宋" w:eastAsia="华文中宋" w:cs="华文中宋"/>
          <w:b/>
          <w:snapToGrid w:val="0"/>
          <w:spacing w:val="12"/>
          <w:kern w:val="0"/>
          <w:sz w:val="28"/>
          <w:szCs w:val="28"/>
        </w:rPr>
        <w:br w:type="page"/>
      </w:r>
      <w:r>
        <w:rPr>
          <w:rStyle w:val="65"/>
          <w:rFonts w:hint="eastAsia"/>
          <w:color w:val="auto"/>
          <w:highlight w:val="none"/>
        </w:rPr>
        <w:t>第六部分 评标原则及评标办法</w:t>
      </w:r>
      <w:bookmarkEnd w:id="17"/>
    </w:p>
    <w:p>
      <w:pPr>
        <w:adjustRightInd w:val="0"/>
        <w:snapToGrid w:val="0"/>
        <w:spacing w:line="520" w:lineRule="exact"/>
        <w:jc w:val="center"/>
        <w:outlineLvl w:val="9"/>
        <w:rPr>
          <w:rFonts w:hint="eastAsia" w:ascii="宋体" w:hAnsi="宋体"/>
          <w:b/>
          <w:color w:val="auto"/>
          <w:spacing w:val="12"/>
          <w:sz w:val="28"/>
          <w:szCs w:val="28"/>
          <w:highlight w:val="none"/>
        </w:rPr>
      </w:pPr>
    </w:p>
    <w:p>
      <w:pPr>
        <w:pStyle w:val="18"/>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根据财政部《政府采购货物和服务招标投标管理办法》（中华人民共和国财政部部令第87号）的有关规定，并结合本次招标货物的实际情况，本着保护竞争，维护招标的公正性、公平性和严肃性，特制定本评标定标办法。</w:t>
      </w:r>
    </w:p>
    <w:p>
      <w:pPr>
        <w:pStyle w:val="18"/>
        <w:spacing w:line="440" w:lineRule="exact"/>
        <w:ind w:firstLine="482" w:firstLineChars="200"/>
        <w:rPr>
          <w:rFonts w:hint="eastAsia" w:hAnsi="宋体"/>
          <w:b/>
          <w:color w:val="auto"/>
          <w:sz w:val="24"/>
          <w:szCs w:val="24"/>
          <w:highlight w:val="none"/>
        </w:rPr>
      </w:pPr>
      <w:r>
        <w:rPr>
          <w:rFonts w:hint="eastAsia" w:hAnsi="宋体"/>
          <w:b/>
          <w:color w:val="auto"/>
          <w:sz w:val="24"/>
          <w:szCs w:val="24"/>
          <w:highlight w:val="none"/>
        </w:rPr>
        <w:t>一、评标委员会构成</w:t>
      </w:r>
    </w:p>
    <w:p>
      <w:pPr>
        <w:pStyle w:val="18"/>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评标由采购人依法组建的评标委员会负责，评标委员会人数为五人以上单数，其中技术、经济有关方面的专家不少于评委总数的三分之二。</w:t>
      </w:r>
    </w:p>
    <w:p>
      <w:pPr>
        <w:spacing w:line="44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二、定标原则：</w:t>
      </w:r>
    </w:p>
    <w:p>
      <w:pPr>
        <w:adjustRightInd w:val="0"/>
        <w:snapToGrid w:val="0"/>
        <w:spacing w:line="520" w:lineRule="exact"/>
        <w:ind w:firstLine="360" w:firstLineChars="150"/>
        <w:outlineLvl w:val="0"/>
        <w:rPr>
          <w:rFonts w:hint="eastAsia" w:ascii="宋体" w:hAnsi="宋体"/>
          <w:color w:val="auto"/>
          <w:spacing w:val="8"/>
          <w:sz w:val="24"/>
          <w:highlight w:val="none"/>
        </w:rPr>
      </w:pPr>
      <w:bookmarkStart w:id="18" w:name="_Toc13785"/>
      <w:bookmarkStart w:id="19" w:name="_Toc11442"/>
      <w:bookmarkStart w:id="20" w:name="_Toc4961"/>
      <w:r>
        <w:rPr>
          <w:rFonts w:hint="eastAsia" w:ascii="宋体" w:hAnsi="宋体"/>
          <w:color w:val="auto"/>
          <w:sz w:val="24"/>
          <w:szCs w:val="24"/>
          <w:highlight w:val="none"/>
        </w:rPr>
        <w:t>采购人委托评标委员会确定中标候选人。评标委员会将依据评标细则内容进行评分，综合各评委评分，得分最高者为第一中标候选</w:t>
      </w:r>
      <w:r>
        <w:rPr>
          <w:rFonts w:hint="eastAsia" w:ascii="宋体" w:hAnsi="宋体"/>
          <w:color w:val="auto"/>
          <w:spacing w:val="8"/>
          <w:sz w:val="24"/>
          <w:szCs w:val="24"/>
          <w:highlight w:val="none"/>
        </w:rPr>
        <w:t>人，以下以</w:t>
      </w:r>
      <w:r>
        <w:rPr>
          <w:rFonts w:hint="eastAsia" w:ascii="宋体" w:hAnsi="宋体"/>
          <w:color w:val="auto"/>
          <w:spacing w:val="8"/>
          <w:sz w:val="24"/>
          <w:highlight w:val="none"/>
        </w:rPr>
        <w:t>此类推，由采购人依法按评标委员会确定的得分顺序确定中标人。</w:t>
      </w:r>
      <w:bookmarkEnd w:id="18"/>
      <w:bookmarkEnd w:id="19"/>
      <w:bookmarkEnd w:id="20"/>
    </w:p>
    <w:p>
      <w:pPr>
        <w:numPr>
          <w:ilvl w:val="0"/>
          <w:numId w:val="12"/>
        </w:numPr>
        <w:spacing w:line="44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评标细则：</w:t>
      </w:r>
    </w:p>
    <w:p>
      <w:pPr>
        <w:numPr>
          <w:ilvl w:val="0"/>
          <w:numId w:val="13"/>
        </w:numPr>
        <w:spacing w:line="440" w:lineRule="exact"/>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资格评审：开标结束后，由代理机构依法对投标人的资格进行审查；</w:t>
      </w:r>
    </w:p>
    <w:p>
      <w:pPr>
        <w:numPr>
          <w:ilvl w:val="0"/>
          <w:numId w:val="13"/>
        </w:numPr>
        <w:spacing w:line="440" w:lineRule="exact"/>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初步评审：资格审查合格的投标人进入下一步评审。</w:t>
      </w:r>
    </w:p>
    <w:p>
      <w:pPr>
        <w:adjustRightInd w:val="0"/>
        <w:snapToGrid w:val="0"/>
        <w:spacing w:line="520" w:lineRule="exact"/>
        <w:ind w:firstLine="360" w:firstLineChars="150"/>
        <w:outlineLvl w:val="0"/>
        <w:rPr>
          <w:rFonts w:hint="eastAsia" w:ascii="宋体" w:hAnsi="宋体"/>
          <w:color w:val="auto"/>
          <w:sz w:val="24"/>
          <w:szCs w:val="24"/>
          <w:highlight w:val="none"/>
          <w:lang w:eastAsia="zh-CN"/>
        </w:rPr>
      </w:pPr>
      <w:bookmarkStart w:id="21" w:name="_Toc31767"/>
      <w:bookmarkStart w:id="22" w:name="_Toc30879"/>
      <w:bookmarkStart w:id="23" w:name="_Toc30063"/>
      <w:r>
        <w:rPr>
          <w:rFonts w:hint="eastAsia" w:ascii="宋体" w:hAnsi="宋体"/>
          <w:color w:val="auto"/>
          <w:sz w:val="24"/>
          <w:szCs w:val="24"/>
          <w:highlight w:val="none"/>
          <w:lang w:eastAsia="zh-CN"/>
        </w:rPr>
        <w:t>从投标文件的有效性、完整性和对招标文件的响应程度进行审查，以确定是否对招标文件的实质性要求作出了响应,详见初步评审表。</w:t>
      </w:r>
      <w:bookmarkEnd w:id="21"/>
      <w:bookmarkEnd w:id="22"/>
      <w:bookmarkEnd w:id="23"/>
    </w:p>
    <w:tbl>
      <w:tblPr>
        <w:tblStyle w:val="32"/>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990"/>
        <w:gridCol w:w="1065"/>
        <w:gridCol w:w="7"/>
        <w:gridCol w:w="1073"/>
        <w:gridCol w:w="1365"/>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689"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439" w:leftChars="114" w:hanging="1200" w:hangingChars="500"/>
              <w:rPr>
                <w:rFonts w:hint="eastAsia" w:ascii="宋体" w:hAnsi="宋体" w:eastAsia="宋体" w:cs="宋体"/>
                <w:b/>
                <w:bCs/>
                <w:color w:val="auto"/>
                <w:spacing w:val="-2"/>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滦平县公安局枪弹柜智能化改造项目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审查内容</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p>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p>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p>
          <w:p>
            <w:pPr>
              <w:spacing w:line="280" w:lineRule="exact"/>
              <w:ind w:right="273" w:rightChars="13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p>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投标函按规定格式填写、内容齐全、字迹清晰</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报价明细表按规定格式填写、内容齐全、字迹清晰</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投标文件封面或扉页、报价一览表等按要求加盖公章及签字</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供货周期是否满足要求</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投标文件没有采购人不能接受的条件</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投标文件实质上响应招标文件</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有无修正内容，如有是否按要求修正</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88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结论:通过/不通过</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sz w:val="24"/>
                <w:szCs w:val="24"/>
                <w:highlight w:val="none"/>
              </w:rPr>
            </w:pPr>
          </w:p>
        </w:tc>
      </w:tr>
    </w:tbl>
    <w:p>
      <w:pPr>
        <w:numPr>
          <w:ilvl w:val="0"/>
          <w:numId w:val="13"/>
        </w:numPr>
        <w:spacing w:line="440" w:lineRule="exact"/>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综合技术评审：</w:t>
      </w:r>
    </w:p>
    <w:p>
      <w:pPr>
        <w:adjustRightInd w:val="0"/>
        <w:snapToGrid w:val="0"/>
        <w:spacing w:line="520" w:lineRule="exact"/>
        <w:ind w:firstLine="360" w:firstLineChars="150"/>
        <w:outlineLvl w:val="0"/>
        <w:rPr>
          <w:rFonts w:hint="eastAsia" w:ascii="宋体" w:hAnsi="宋体"/>
          <w:color w:val="auto"/>
          <w:sz w:val="24"/>
          <w:szCs w:val="24"/>
          <w:highlight w:val="none"/>
          <w:lang w:eastAsia="zh-CN"/>
        </w:rPr>
      </w:pPr>
      <w:bookmarkStart w:id="24" w:name="_Toc22395"/>
      <w:bookmarkStart w:id="25" w:name="_Toc3188"/>
      <w:bookmarkStart w:id="26" w:name="_Toc30178"/>
      <w:r>
        <w:rPr>
          <w:rFonts w:hint="default" w:ascii="Calibri" w:hAnsi="Calibri" w:cs="Calibri"/>
          <w:color w:val="auto"/>
          <w:sz w:val="24"/>
          <w:szCs w:val="24"/>
          <w:highlight w:val="none"/>
          <w:lang w:eastAsia="zh-CN"/>
        </w:rPr>
        <w:t>①</w:t>
      </w:r>
      <w:r>
        <w:rPr>
          <w:rFonts w:hint="eastAsia" w:ascii="宋体" w:hAnsi="宋体"/>
          <w:color w:val="auto"/>
          <w:sz w:val="24"/>
          <w:szCs w:val="24"/>
          <w:highlight w:val="none"/>
          <w:lang w:eastAsia="zh-CN"/>
        </w:rPr>
        <w:t>对初步评审通过的投标文件进行综合技术评审。本评标阶段评议内容如下：</w:t>
      </w:r>
      <w:bookmarkEnd w:id="24"/>
      <w:bookmarkEnd w:id="25"/>
      <w:bookmarkEnd w:id="26"/>
    </w:p>
    <w:tbl>
      <w:tblPr>
        <w:tblStyle w:val="32"/>
        <w:tblW w:w="93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6"/>
        <w:gridCol w:w="5539"/>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tabs>
                <w:tab w:val="left" w:pos="648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5539" w:type="dxa"/>
            <w:tcBorders>
              <w:top w:val="single" w:color="auto" w:sz="4" w:space="0"/>
              <w:left w:val="single" w:color="auto" w:sz="4" w:space="0"/>
              <w:bottom w:val="single" w:color="auto" w:sz="4" w:space="0"/>
              <w:right w:val="single" w:color="auto" w:sz="4" w:space="0"/>
            </w:tcBorders>
            <w:noWrap w:val="0"/>
            <w:vAlign w:val="center"/>
          </w:tcPr>
          <w:p>
            <w:pPr>
              <w:tabs>
                <w:tab w:val="left" w:pos="6480"/>
              </w:tabs>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评议内容</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6480"/>
              </w:tabs>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标准分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tabs>
                <w:tab w:val="left" w:pos="6480"/>
              </w:tabs>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539" w:type="dxa"/>
            <w:tcBorders>
              <w:top w:val="single" w:color="auto" w:sz="4" w:space="0"/>
              <w:left w:val="single" w:color="auto" w:sz="4" w:space="0"/>
              <w:bottom w:val="single" w:color="auto" w:sz="4" w:space="0"/>
              <w:right w:val="single" w:color="auto" w:sz="4" w:space="0"/>
            </w:tcBorders>
            <w:noWrap w:val="0"/>
            <w:vAlign w:val="center"/>
          </w:tcPr>
          <w:p>
            <w:pPr>
              <w:tabs>
                <w:tab w:val="left" w:pos="6480"/>
              </w:tabs>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投标报价评审</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6480"/>
              </w:tabs>
              <w:ind w:left="0" w:leftChars="0"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tabs>
                <w:tab w:val="left" w:pos="6480"/>
              </w:tabs>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539" w:type="dxa"/>
            <w:tcBorders>
              <w:top w:val="single" w:color="auto" w:sz="4" w:space="0"/>
              <w:left w:val="single" w:color="auto" w:sz="4" w:space="0"/>
              <w:bottom w:val="single" w:color="auto" w:sz="4" w:space="0"/>
              <w:right w:val="single" w:color="auto" w:sz="4" w:space="0"/>
            </w:tcBorders>
            <w:noWrap w:val="0"/>
            <w:vAlign w:val="center"/>
          </w:tcPr>
          <w:p>
            <w:pPr>
              <w:tabs>
                <w:tab w:val="left" w:pos="6480"/>
              </w:tabs>
              <w:ind w:left="0" w:leftChars="0" w:firstLine="0" w:firstLineChars="0"/>
              <w:jc w:val="center"/>
              <w:rPr>
                <w:rFonts w:hint="eastAsia" w:ascii="宋体" w:hAnsi="宋体" w:eastAsia="宋体" w:cs="宋体"/>
                <w:color w:val="auto"/>
                <w:sz w:val="21"/>
                <w:szCs w:val="21"/>
                <w:highlight w:val="none"/>
              </w:rPr>
            </w:pPr>
            <w:r>
              <w:rPr>
                <w:rFonts w:hint="eastAsia" w:ascii="宋体" w:hAnsi="宋体" w:cs="宋体"/>
                <w:szCs w:val="21"/>
                <w:highlight w:val="none"/>
                <w:lang w:eastAsia="zh-CN"/>
              </w:rPr>
              <w:t>明标</w:t>
            </w:r>
            <w:r>
              <w:rPr>
                <w:rFonts w:hint="eastAsia" w:ascii="宋体" w:hAnsi="宋体" w:cs="宋体"/>
                <w:szCs w:val="21"/>
                <w:highlight w:val="none"/>
              </w:rPr>
              <w:t>评审</w:t>
            </w:r>
            <w:r>
              <w:rPr>
                <w:rFonts w:hint="eastAsia" w:ascii="宋体" w:hAnsi="宋体" w:cs="宋体"/>
                <w:szCs w:val="21"/>
                <w:highlight w:val="none"/>
                <w:lang w:eastAsia="zh-CN"/>
              </w:rPr>
              <w:t>部分</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6480"/>
              </w:tabs>
              <w:ind w:left="0" w:leftChars="0"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tabs>
                <w:tab w:val="left" w:pos="6480"/>
              </w:tabs>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39" w:type="dxa"/>
            <w:tcBorders>
              <w:top w:val="single" w:color="auto" w:sz="4" w:space="0"/>
              <w:left w:val="single" w:color="auto" w:sz="4" w:space="0"/>
              <w:bottom w:val="single" w:color="auto" w:sz="4" w:space="0"/>
              <w:right w:val="single" w:color="auto" w:sz="4" w:space="0"/>
            </w:tcBorders>
            <w:noWrap w:val="0"/>
            <w:vAlign w:val="center"/>
          </w:tcPr>
          <w:p>
            <w:pPr>
              <w:tabs>
                <w:tab w:val="left" w:pos="6480"/>
              </w:tabs>
              <w:ind w:left="0" w:leftChars="0" w:firstLine="0" w:firstLineChars="0"/>
              <w:jc w:val="center"/>
              <w:rPr>
                <w:rFonts w:hint="eastAsia" w:ascii="宋体" w:hAnsi="宋体" w:cs="宋体"/>
                <w:szCs w:val="21"/>
                <w:highlight w:val="none"/>
                <w:lang w:eastAsia="zh-CN"/>
              </w:rPr>
            </w:pPr>
            <w:r>
              <w:rPr>
                <w:rFonts w:hint="eastAsia" w:ascii="宋体" w:hAnsi="宋体" w:cs="宋体"/>
                <w:szCs w:val="21"/>
                <w:highlight w:val="none"/>
                <w:lang w:eastAsia="zh-CN"/>
              </w:rPr>
              <w:t>暗标</w:t>
            </w:r>
            <w:r>
              <w:rPr>
                <w:rFonts w:hint="eastAsia" w:ascii="宋体" w:hAnsi="宋体" w:cs="宋体"/>
                <w:szCs w:val="21"/>
                <w:highlight w:val="none"/>
              </w:rPr>
              <w:t>评审</w:t>
            </w:r>
            <w:r>
              <w:rPr>
                <w:rFonts w:hint="eastAsia" w:ascii="宋体" w:hAnsi="宋体" w:cs="宋体"/>
                <w:szCs w:val="21"/>
                <w:highlight w:val="none"/>
                <w:lang w:eastAsia="zh-CN"/>
              </w:rPr>
              <w:t>部分</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6480"/>
              </w:tabs>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45分</w:t>
            </w:r>
          </w:p>
        </w:tc>
      </w:tr>
    </w:tbl>
    <w:p>
      <w:pPr>
        <w:numPr>
          <w:ilvl w:val="0"/>
          <w:numId w:val="0"/>
        </w:numPr>
        <w:spacing w:line="440" w:lineRule="exact"/>
        <w:rPr>
          <w:rFonts w:hint="eastAsia" w:ascii="宋体" w:hAnsi="宋体"/>
          <w:b/>
          <w:color w:val="auto"/>
          <w:sz w:val="24"/>
          <w:szCs w:val="24"/>
          <w:highlight w:val="none"/>
          <w:lang w:eastAsia="zh-CN"/>
        </w:rPr>
      </w:pPr>
    </w:p>
    <w:p>
      <w:pPr>
        <w:spacing w:line="460" w:lineRule="exact"/>
        <w:rPr>
          <w:rFonts w:ascii="宋体" w:hAnsi="宋体"/>
          <w:b/>
          <w:bCs/>
          <w:color w:val="000000"/>
          <w:szCs w:val="21"/>
        </w:rPr>
      </w:pPr>
      <w:r>
        <w:rPr>
          <w:rFonts w:hint="eastAsia" w:ascii="宋体" w:hAnsi="宋体"/>
          <w:b/>
          <w:bCs/>
          <w:color w:val="000000"/>
          <w:szCs w:val="21"/>
        </w:rPr>
        <w:t>报价得分（30分）</w:t>
      </w:r>
    </w:p>
    <w:tbl>
      <w:tblPr>
        <w:tblStyle w:val="32"/>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66"/>
        <w:gridCol w:w="1079"/>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42" w:type="dxa"/>
            <w:vAlign w:val="center"/>
          </w:tcPr>
          <w:p>
            <w:pPr>
              <w:spacing w:line="260" w:lineRule="exact"/>
              <w:jc w:val="center"/>
              <w:rPr>
                <w:rFonts w:ascii="宋体" w:hAnsi="宋体"/>
                <w:color w:val="000000"/>
                <w:szCs w:val="21"/>
              </w:rPr>
            </w:pPr>
            <w:r>
              <w:rPr>
                <w:rFonts w:hint="eastAsia" w:ascii="宋体" w:hAnsi="宋体"/>
                <w:color w:val="000000"/>
                <w:szCs w:val="21"/>
              </w:rPr>
              <w:t>序号</w:t>
            </w:r>
          </w:p>
        </w:tc>
        <w:tc>
          <w:tcPr>
            <w:tcW w:w="1466" w:type="dxa"/>
            <w:vAlign w:val="center"/>
          </w:tcPr>
          <w:p>
            <w:pPr>
              <w:spacing w:line="260" w:lineRule="exact"/>
              <w:jc w:val="center"/>
              <w:rPr>
                <w:rFonts w:ascii="宋体" w:hAnsi="宋体"/>
                <w:color w:val="000000"/>
                <w:szCs w:val="21"/>
              </w:rPr>
            </w:pPr>
            <w:r>
              <w:rPr>
                <w:rFonts w:hint="eastAsia" w:ascii="宋体" w:hAnsi="宋体"/>
                <w:color w:val="000000"/>
                <w:szCs w:val="21"/>
              </w:rPr>
              <w:t>评分内容</w:t>
            </w:r>
          </w:p>
        </w:tc>
        <w:tc>
          <w:tcPr>
            <w:tcW w:w="1079" w:type="dxa"/>
            <w:vAlign w:val="center"/>
          </w:tcPr>
          <w:p>
            <w:pPr>
              <w:spacing w:line="260" w:lineRule="exact"/>
              <w:jc w:val="center"/>
              <w:rPr>
                <w:rFonts w:ascii="宋体" w:hAnsi="宋体"/>
                <w:color w:val="000000"/>
                <w:szCs w:val="21"/>
              </w:rPr>
            </w:pPr>
            <w:r>
              <w:rPr>
                <w:rFonts w:hint="eastAsia" w:ascii="宋体" w:hAnsi="宋体"/>
                <w:color w:val="000000"/>
                <w:szCs w:val="21"/>
              </w:rPr>
              <w:t>标准分</w:t>
            </w:r>
          </w:p>
        </w:tc>
        <w:tc>
          <w:tcPr>
            <w:tcW w:w="6013" w:type="dxa"/>
            <w:vAlign w:val="center"/>
          </w:tcPr>
          <w:p>
            <w:pPr>
              <w:spacing w:line="260" w:lineRule="exact"/>
              <w:jc w:val="center"/>
              <w:rPr>
                <w:rFonts w:ascii="宋体" w:hAnsi="宋体"/>
                <w:color w:val="000000"/>
                <w:szCs w:val="21"/>
              </w:rPr>
            </w:pPr>
            <w:r>
              <w:rPr>
                <w:rFonts w:hint="eastAsia" w:ascii="宋体" w:hAnsi="宋体"/>
                <w:color w:val="00000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742" w:type="dxa"/>
            <w:vAlign w:val="center"/>
          </w:tcPr>
          <w:p>
            <w:pPr>
              <w:spacing w:line="260" w:lineRule="exact"/>
              <w:jc w:val="center"/>
              <w:rPr>
                <w:rFonts w:ascii="宋体" w:hAnsi="宋体"/>
                <w:color w:val="000000"/>
                <w:szCs w:val="21"/>
              </w:rPr>
            </w:pPr>
            <w:r>
              <w:rPr>
                <w:rFonts w:hint="eastAsia" w:ascii="宋体" w:hAnsi="宋体"/>
                <w:color w:val="000000"/>
                <w:szCs w:val="21"/>
              </w:rPr>
              <w:t>1</w:t>
            </w:r>
          </w:p>
        </w:tc>
        <w:tc>
          <w:tcPr>
            <w:tcW w:w="1466" w:type="dxa"/>
            <w:vAlign w:val="center"/>
          </w:tcPr>
          <w:p>
            <w:pPr>
              <w:spacing w:line="260" w:lineRule="exact"/>
              <w:jc w:val="center"/>
              <w:rPr>
                <w:rFonts w:ascii="宋体" w:hAnsi="宋体"/>
                <w:color w:val="000000"/>
                <w:szCs w:val="21"/>
              </w:rPr>
            </w:pPr>
            <w:r>
              <w:rPr>
                <w:rFonts w:hint="eastAsia" w:ascii="宋体" w:hAnsi="宋体"/>
                <w:color w:val="000000"/>
                <w:szCs w:val="21"/>
              </w:rPr>
              <w:t>投标总报价</w:t>
            </w:r>
          </w:p>
        </w:tc>
        <w:tc>
          <w:tcPr>
            <w:tcW w:w="1079" w:type="dxa"/>
            <w:vAlign w:val="center"/>
          </w:tcPr>
          <w:p>
            <w:pPr>
              <w:spacing w:line="260" w:lineRule="exact"/>
              <w:jc w:val="center"/>
              <w:rPr>
                <w:rFonts w:ascii="宋体" w:hAnsi="宋体"/>
                <w:color w:val="000000"/>
                <w:szCs w:val="21"/>
              </w:rPr>
            </w:pPr>
            <w:r>
              <w:rPr>
                <w:rFonts w:hint="eastAsia" w:ascii="宋体" w:hAnsi="宋体"/>
                <w:color w:val="000000"/>
                <w:szCs w:val="21"/>
              </w:rPr>
              <w:t>30分</w:t>
            </w:r>
          </w:p>
        </w:tc>
        <w:tc>
          <w:tcPr>
            <w:tcW w:w="6013" w:type="dxa"/>
            <w:vAlign w:val="center"/>
          </w:tcPr>
          <w:p>
            <w:pPr>
              <w:spacing w:line="260" w:lineRule="exact"/>
              <w:jc w:val="both"/>
              <w:rPr>
                <w:rFonts w:ascii="宋体" w:hAnsi="宋体"/>
                <w:color w:val="000000"/>
                <w:szCs w:val="21"/>
              </w:rPr>
            </w:pPr>
            <w:r>
              <w:rPr>
                <w:rFonts w:hint="eastAsia" w:ascii="宋体" w:hAnsi="宋体"/>
                <w:color w:val="000000"/>
                <w:szCs w:val="21"/>
              </w:rPr>
              <w:t>价格分的计算： 投标报价得分=(评标基准价／投标报价)×30</w:t>
            </w:r>
          </w:p>
          <w:p>
            <w:pPr>
              <w:spacing w:line="260" w:lineRule="exact"/>
              <w:jc w:val="left"/>
              <w:rPr>
                <w:rFonts w:ascii="宋体" w:hAnsi="宋体"/>
                <w:color w:val="000000"/>
                <w:szCs w:val="21"/>
              </w:rPr>
            </w:pPr>
            <w:r>
              <w:rPr>
                <w:rFonts w:hint="eastAsia" w:ascii="宋体" w:hAnsi="宋体"/>
                <w:color w:val="000000"/>
                <w:szCs w:val="21"/>
                <w:lang w:val="en-US" w:eastAsia="zh-CN"/>
              </w:rPr>
              <w:t>备注：</w:t>
            </w:r>
            <w:r>
              <w:rPr>
                <w:rFonts w:hint="eastAsia" w:ascii="宋体" w:hAnsi="宋体"/>
                <w:color w:val="000000"/>
                <w:szCs w:val="21"/>
              </w:rPr>
              <w:t>满足招标文件要求，且报价最低的投标报价为评标基准价，其价格分为满分。</w:t>
            </w:r>
          </w:p>
        </w:tc>
      </w:tr>
    </w:tbl>
    <w:p>
      <w:pPr>
        <w:pStyle w:val="31"/>
        <w:ind w:left="0" w:leftChars="0" w:firstLine="0" w:firstLineChars="0"/>
        <w:jc w:val="left"/>
        <w:rPr>
          <w:rFonts w:hint="default" w:ascii="宋体" w:hAnsi="宋体" w:eastAsia="宋体" w:cs="Times New Roman"/>
          <w:b/>
          <w:bCs/>
          <w:color w:val="000000"/>
          <w:spacing w:val="0"/>
          <w:kern w:val="2"/>
          <w:sz w:val="21"/>
          <w:szCs w:val="21"/>
          <w:lang w:val="en-US" w:eastAsia="zh-CN" w:bidi="ar-SA"/>
        </w:rPr>
      </w:pPr>
      <w:r>
        <w:rPr>
          <w:rFonts w:hint="eastAsia" w:ascii="宋体" w:hAnsi="宋体" w:eastAsia="宋体" w:cs="Times New Roman"/>
          <w:b/>
          <w:bCs/>
          <w:color w:val="000000"/>
          <w:spacing w:val="0"/>
          <w:kern w:val="2"/>
          <w:sz w:val="21"/>
          <w:szCs w:val="21"/>
          <w:lang w:val="en-US" w:eastAsia="zh-CN" w:bidi="ar-SA"/>
        </w:rPr>
        <w:t>明标评审部分（</w:t>
      </w:r>
      <w:r>
        <w:rPr>
          <w:rFonts w:hint="eastAsia" w:ascii="宋体" w:hAnsi="宋体" w:cs="Times New Roman"/>
          <w:b/>
          <w:bCs/>
          <w:color w:val="000000"/>
          <w:spacing w:val="0"/>
          <w:kern w:val="2"/>
          <w:sz w:val="21"/>
          <w:szCs w:val="21"/>
          <w:lang w:val="en-US" w:eastAsia="zh-CN" w:bidi="ar-SA"/>
        </w:rPr>
        <w:t>25</w:t>
      </w:r>
      <w:r>
        <w:rPr>
          <w:rFonts w:hint="eastAsia" w:ascii="宋体" w:hAnsi="宋体" w:eastAsia="宋体" w:cs="Times New Roman"/>
          <w:b/>
          <w:bCs/>
          <w:color w:val="000000"/>
          <w:spacing w:val="0"/>
          <w:kern w:val="2"/>
          <w:sz w:val="21"/>
          <w:szCs w:val="21"/>
          <w:lang w:val="en-US" w:eastAsia="zh-CN" w:bidi="ar-SA"/>
        </w:rPr>
        <w:t>分）</w:t>
      </w:r>
    </w:p>
    <w:tbl>
      <w:tblPr>
        <w:tblStyle w:val="33"/>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443"/>
        <w:gridCol w:w="1032"/>
        <w:gridCol w:w="6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spacing w:line="460" w:lineRule="exact"/>
              <w:rPr>
                <w:rFonts w:hint="eastAsia" w:ascii="宋体" w:hAnsi="宋体" w:eastAsia="宋体"/>
                <w:b/>
                <w:bCs/>
                <w:color w:val="000000"/>
                <w:szCs w:val="21"/>
                <w:vertAlign w:val="baseline"/>
                <w:lang w:val="en-US" w:eastAsia="zh-CN"/>
              </w:rPr>
            </w:pPr>
            <w:r>
              <w:rPr>
                <w:rFonts w:hint="eastAsia" w:ascii="宋体" w:hAnsi="宋体"/>
                <w:color w:val="000000"/>
                <w:szCs w:val="21"/>
                <w:lang w:val="en-US" w:eastAsia="zh-CN"/>
              </w:rPr>
              <w:t>序号</w:t>
            </w:r>
          </w:p>
        </w:tc>
        <w:tc>
          <w:tcPr>
            <w:tcW w:w="1443" w:type="dxa"/>
          </w:tcPr>
          <w:p>
            <w:pPr>
              <w:spacing w:line="460" w:lineRule="exact"/>
              <w:rPr>
                <w:rFonts w:hint="eastAsia" w:ascii="宋体" w:hAnsi="宋体"/>
                <w:b/>
                <w:bCs/>
                <w:color w:val="000000"/>
                <w:szCs w:val="21"/>
                <w:vertAlign w:val="baseline"/>
              </w:rPr>
            </w:pPr>
            <w:r>
              <w:rPr>
                <w:rFonts w:hint="eastAsia" w:ascii="宋体" w:hAnsi="宋体"/>
                <w:color w:val="000000"/>
                <w:szCs w:val="21"/>
              </w:rPr>
              <w:t>评分内容</w:t>
            </w:r>
          </w:p>
        </w:tc>
        <w:tc>
          <w:tcPr>
            <w:tcW w:w="1032" w:type="dxa"/>
            <w:vAlign w:val="center"/>
          </w:tcPr>
          <w:p>
            <w:pPr>
              <w:spacing w:line="440" w:lineRule="exact"/>
              <w:jc w:val="center"/>
              <w:rPr>
                <w:rFonts w:hint="eastAsia" w:ascii="宋体" w:hAnsi="宋体"/>
                <w:b/>
                <w:bCs/>
                <w:color w:val="000000"/>
                <w:szCs w:val="21"/>
                <w:vertAlign w:val="baseline"/>
              </w:rPr>
            </w:pPr>
            <w:r>
              <w:rPr>
                <w:rFonts w:hint="eastAsia" w:ascii="宋体" w:hAnsi="宋体"/>
                <w:szCs w:val="21"/>
              </w:rPr>
              <w:t>满分</w:t>
            </w:r>
          </w:p>
        </w:tc>
        <w:tc>
          <w:tcPr>
            <w:tcW w:w="6247" w:type="dxa"/>
            <w:vAlign w:val="center"/>
          </w:tcPr>
          <w:p>
            <w:pPr>
              <w:spacing w:line="440" w:lineRule="exact"/>
              <w:jc w:val="center"/>
              <w:rPr>
                <w:rFonts w:hint="eastAsia" w:ascii="宋体" w:hAnsi="宋体"/>
                <w:b/>
                <w:bCs/>
                <w:color w:val="000000"/>
                <w:szCs w:val="21"/>
                <w:vertAlign w:val="baseline"/>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88" w:type="dxa"/>
            <w:vAlign w:val="center"/>
          </w:tcPr>
          <w:p>
            <w:pPr>
              <w:spacing w:line="260" w:lineRule="exact"/>
              <w:jc w:val="left"/>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w:t>
            </w:r>
          </w:p>
        </w:tc>
        <w:tc>
          <w:tcPr>
            <w:tcW w:w="1443" w:type="dxa"/>
            <w:vAlign w:val="center"/>
          </w:tcPr>
          <w:p>
            <w:pPr>
              <w:spacing w:line="26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eastAsia="zh-CN"/>
              </w:rPr>
              <w:t>履约能力</w:t>
            </w:r>
          </w:p>
        </w:tc>
        <w:tc>
          <w:tcPr>
            <w:tcW w:w="1032" w:type="dxa"/>
            <w:vAlign w:val="center"/>
          </w:tcPr>
          <w:p>
            <w:pPr>
              <w:spacing w:line="26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15分</w:t>
            </w:r>
          </w:p>
        </w:tc>
        <w:tc>
          <w:tcPr>
            <w:tcW w:w="6247" w:type="dxa"/>
            <w:vAlign w:val="top"/>
          </w:tcPr>
          <w:p>
            <w:pPr>
              <w:spacing w:line="260" w:lineRule="exact"/>
              <w:jc w:val="left"/>
              <w:rPr>
                <w:rFonts w:hint="default"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1、投标企业</w:t>
            </w:r>
            <w:r>
              <w:rPr>
                <w:rFonts w:hint="eastAsia" w:ascii="宋体" w:hAnsi="宋体" w:eastAsia="宋体" w:cs="Times New Roman"/>
                <w:color w:val="000000"/>
                <w:szCs w:val="21"/>
                <w:lang w:val="zh-CN" w:eastAsia="zh-CN"/>
              </w:rPr>
              <w:t>具备质量管理体系认证证书；环境管理体系认证证书；职业健康安全管理体系；信息安全管理体系认证证书；</w:t>
            </w:r>
            <w:r>
              <w:rPr>
                <w:rFonts w:hint="eastAsia" w:ascii="宋体" w:hAnsi="宋体" w:eastAsia="宋体" w:cs="Times New Roman"/>
                <w:color w:val="000000"/>
                <w:szCs w:val="21"/>
                <w:lang w:val="en-US" w:eastAsia="zh-CN"/>
              </w:rPr>
              <w:t>培训管理体系评价证书全部提供得5分，缺1项得0分</w:t>
            </w:r>
            <w:r>
              <w:rPr>
                <w:rFonts w:hint="default" w:ascii="宋体" w:hAnsi="宋体" w:eastAsia="宋体" w:cs="Times New Roman"/>
                <w:color w:val="000000"/>
                <w:szCs w:val="21"/>
                <w:lang w:eastAsia="zh-CN"/>
              </w:rPr>
              <w:t>。</w:t>
            </w:r>
          </w:p>
          <w:p>
            <w:pPr>
              <w:spacing w:line="260" w:lineRule="exact"/>
              <w:jc w:val="left"/>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2、投标企业</w:t>
            </w:r>
            <w:r>
              <w:rPr>
                <w:rFonts w:hint="eastAsia" w:ascii="宋体" w:hAnsi="宋体" w:eastAsia="宋体" w:cs="Times New Roman"/>
                <w:color w:val="000000"/>
                <w:szCs w:val="21"/>
              </w:rPr>
              <w:t>获得全国轻工业先进集体</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得2分。</w:t>
            </w:r>
          </w:p>
          <w:p>
            <w:pPr>
              <w:spacing w:line="26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3、投标企业具备安防工程企业资质证书（壹级），得1分</w:t>
            </w:r>
            <w:r>
              <w:rPr>
                <w:rFonts w:hint="eastAsia" w:ascii="宋体" w:hAnsi="宋体" w:eastAsia="宋体" w:cs="Times New Roman"/>
                <w:color w:val="000000"/>
                <w:szCs w:val="21"/>
              </w:rPr>
              <w:t>。</w:t>
            </w:r>
            <w:r>
              <w:rPr>
                <w:rFonts w:hint="eastAsia" w:ascii="宋体" w:hAnsi="宋体" w:eastAsia="宋体" w:cs="Times New Roman"/>
                <w:color w:val="000000"/>
                <w:szCs w:val="21"/>
                <w:lang w:val="en-US" w:eastAsia="zh-CN"/>
              </w:rPr>
              <w:t xml:space="preserve">                              </w:t>
            </w:r>
          </w:p>
          <w:p>
            <w:pPr>
              <w:spacing w:line="260" w:lineRule="exact"/>
              <w:jc w:val="left"/>
              <w:rPr>
                <w:rFonts w:hint="default"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4、投标企业</w:t>
            </w:r>
            <w:r>
              <w:rPr>
                <w:rFonts w:hint="eastAsia" w:ascii="宋体" w:hAnsi="宋体" w:eastAsia="宋体" w:cs="Times New Roman"/>
                <w:color w:val="000000"/>
                <w:szCs w:val="21"/>
              </w:rPr>
              <w:t>获得中央军委装备发展部颁发的“装备承制单位注册证书”；</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含枪弹柜</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得3分</w:t>
            </w:r>
            <w:r>
              <w:rPr>
                <w:rFonts w:hint="default" w:ascii="宋体" w:hAnsi="宋体" w:eastAsia="宋体" w:cs="Times New Roman"/>
                <w:color w:val="000000"/>
                <w:szCs w:val="21"/>
                <w:lang w:eastAsia="zh-CN"/>
              </w:rPr>
              <w:t>。</w:t>
            </w:r>
          </w:p>
          <w:p>
            <w:pPr>
              <w:spacing w:line="260" w:lineRule="exact"/>
              <w:jc w:val="left"/>
              <w:rPr>
                <w:rFonts w:hint="eastAsia"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5、提供</w:t>
            </w:r>
            <w:r>
              <w:rPr>
                <w:rFonts w:hint="eastAsia" w:ascii="宋体" w:hAnsi="宋体" w:eastAsia="宋体" w:cs="Times New Roman"/>
                <w:color w:val="000000"/>
                <w:szCs w:val="21"/>
                <w:lang w:eastAsia="zh-CN"/>
              </w:rPr>
              <w:t>本项目公示之前连续六年获得国家税务总局认定的纳税信用A级纳税人的得</w:t>
            </w: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lang w:eastAsia="zh-CN"/>
              </w:rPr>
              <w:t>分（须提供截图和查询网址）。</w:t>
            </w:r>
          </w:p>
          <w:p>
            <w:pPr>
              <w:spacing w:line="260" w:lineRule="exact"/>
              <w:jc w:val="left"/>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6、投标企业获得武器装备质量管理体系认证证书；（含枪弹柜）得1分。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88" w:type="dxa"/>
            <w:vAlign w:val="center"/>
          </w:tcPr>
          <w:p>
            <w:pPr>
              <w:spacing w:line="26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443" w:type="dxa"/>
            <w:vAlign w:val="center"/>
          </w:tcPr>
          <w:p>
            <w:pPr>
              <w:spacing w:line="260" w:lineRule="exact"/>
              <w:jc w:val="left"/>
              <w:rPr>
                <w:rFonts w:hint="eastAsia" w:ascii="宋体" w:hAnsi="宋体" w:cs="Times New Roman"/>
                <w:color w:val="000000"/>
                <w:szCs w:val="21"/>
                <w:lang w:val="en-US" w:eastAsia="zh-CN"/>
              </w:rPr>
            </w:pPr>
            <w:r>
              <w:rPr>
                <w:rFonts w:hint="default" w:ascii="宋体" w:hAnsi="宋体" w:eastAsia="宋体" w:cs="Times New Roman"/>
                <w:color w:val="000000"/>
                <w:szCs w:val="21"/>
                <w:lang w:eastAsia="zh-CN"/>
              </w:rPr>
              <w:t>质量控制</w:t>
            </w:r>
          </w:p>
        </w:tc>
        <w:tc>
          <w:tcPr>
            <w:tcW w:w="1032" w:type="dxa"/>
            <w:vAlign w:val="center"/>
          </w:tcPr>
          <w:p>
            <w:pPr>
              <w:spacing w:line="260" w:lineRule="exact"/>
              <w:jc w:val="left"/>
              <w:rPr>
                <w:rFonts w:hint="eastAsia" w:ascii="宋体" w:hAnsi="宋体" w:cs="Times New Roman"/>
                <w:color w:val="000000"/>
                <w:szCs w:val="21"/>
                <w:lang w:val="en-US" w:eastAsia="zh-CN"/>
              </w:rPr>
            </w:pPr>
            <w:r>
              <w:rPr>
                <w:rFonts w:hint="eastAsia" w:ascii="宋体" w:hAnsi="宋体" w:cs="Times New Roman"/>
                <w:color w:val="000000"/>
                <w:szCs w:val="21"/>
              </w:rPr>
              <w:t>1</w:t>
            </w:r>
            <w:r>
              <w:rPr>
                <w:rFonts w:hint="eastAsia" w:ascii="宋体" w:hAnsi="宋体" w:cs="Times New Roman"/>
                <w:color w:val="000000"/>
                <w:szCs w:val="21"/>
                <w:lang w:val="en-US" w:eastAsia="zh-CN"/>
              </w:rPr>
              <w:t>0</w:t>
            </w:r>
            <w:r>
              <w:rPr>
                <w:rFonts w:hint="eastAsia" w:ascii="宋体" w:hAnsi="宋体" w:cs="Times New Roman"/>
                <w:color w:val="000000"/>
                <w:szCs w:val="21"/>
              </w:rPr>
              <w:t>分</w:t>
            </w:r>
          </w:p>
        </w:tc>
        <w:tc>
          <w:tcPr>
            <w:tcW w:w="6247" w:type="dxa"/>
            <w:vAlign w:val="top"/>
          </w:tcPr>
          <w:p>
            <w:pPr>
              <w:pStyle w:val="18"/>
              <w:numPr>
                <w:ilvl w:val="0"/>
                <w:numId w:val="14"/>
              </w:numPr>
              <w:spacing w:line="400" w:lineRule="exact"/>
              <w:jc w:val="left"/>
              <w:outlineLvl w:val="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投标企业提供</w:t>
            </w:r>
            <w:bookmarkStart w:id="30" w:name="_GoBack"/>
            <w:r>
              <w:rPr>
                <w:rFonts w:hint="eastAsia" w:ascii="宋体" w:hAnsi="宋体" w:eastAsia="宋体" w:cs="Times New Roman"/>
                <w:color w:val="000000"/>
                <w:kern w:val="2"/>
                <w:sz w:val="21"/>
                <w:szCs w:val="21"/>
                <w:lang w:val="en-US" w:eastAsia="zh-CN" w:bidi="ar-SA"/>
              </w:rPr>
              <w:t>阿克苏诺贝尔塑粉</w:t>
            </w:r>
            <w:bookmarkEnd w:id="30"/>
            <w:r>
              <w:rPr>
                <w:rFonts w:hint="eastAsia" w:ascii="宋体" w:hAnsi="宋体" w:eastAsia="宋体" w:cs="Times New Roman"/>
                <w:color w:val="000000"/>
                <w:kern w:val="2"/>
                <w:sz w:val="21"/>
                <w:szCs w:val="21"/>
                <w:lang w:val="en-US" w:eastAsia="zh-CN" w:bidi="ar-SA"/>
              </w:rPr>
              <w:t>的第三方检测机构出具抽样的带CMA标识符合《GB28481-2012》标准的检测报告（报告内容包括重金属可溶性铅、可溶性铬、可溶性镉、可溶性汞检测合格），开标时提供检测报告原件查验及网上查询截图；满足得2分，不满足得0分。</w:t>
            </w:r>
          </w:p>
          <w:p>
            <w:pPr>
              <w:pStyle w:val="18"/>
              <w:numPr>
                <w:ilvl w:val="0"/>
                <w:numId w:val="14"/>
              </w:numPr>
              <w:spacing w:line="400" w:lineRule="exact"/>
              <w:jc w:val="left"/>
              <w:outlineLvl w:val="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投标企业提供冷轧钢板（涂层）符合GB/T1740-2007标准，温度（47±1）℃，湿度（96±2）%RH，520h，表面无变化，开标时提供检测报告原件查验；满足得2分，不满足得0分。</w:t>
            </w:r>
          </w:p>
          <w:p>
            <w:pPr>
              <w:pStyle w:val="18"/>
              <w:numPr>
                <w:ilvl w:val="0"/>
                <w:numId w:val="14"/>
              </w:numPr>
              <w:spacing w:line="400" w:lineRule="exact"/>
              <w:ind w:left="0" w:leftChars="0" w:firstLine="0" w:firstLineChars="0"/>
              <w:jc w:val="left"/>
              <w:outlineLvl w:val="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投标企业提供冷轧钢板（涂层）符合GB/T9274-1988标准，5%HCL溶液浸泡260h表面基本无变化，开标时提供检测报告原件查验；满足得2分，不满足得0分。</w:t>
            </w:r>
          </w:p>
          <w:p>
            <w:pPr>
              <w:pStyle w:val="18"/>
              <w:numPr>
                <w:ilvl w:val="0"/>
                <w:numId w:val="14"/>
              </w:numPr>
              <w:spacing w:line="400" w:lineRule="exact"/>
              <w:ind w:left="0" w:leftChars="0" w:firstLine="0" w:firstLineChars="0"/>
              <w:jc w:val="left"/>
              <w:outlineLvl w:val="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投标企业提供带 CMA、ILAC MRA、CNAS标识 抗菌金属表面静电喷涂有效期内的检测报告复印件加盖生产厂商公章或投标人公章(检测结果包含：耐久前及耐久后大肠杆菌抗菌率均不低于99.98%；耐久前及耐久后金黄色葡萄球菌抗菌率均不低于96.6%）。满足的得2分，不满足的不得分。</w:t>
            </w:r>
          </w:p>
          <w:p>
            <w:pPr>
              <w:spacing w:line="260" w:lineRule="exact"/>
              <w:jc w:val="left"/>
              <w:rPr>
                <w:rFonts w:hint="default" w:ascii="宋体" w:hAnsi="宋体" w:cs="Times New Roman"/>
                <w:color w:val="000000"/>
                <w:szCs w:val="21"/>
                <w:lang w:val="en-US" w:eastAsia="zh-CN"/>
              </w:rPr>
            </w:pPr>
            <w:r>
              <w:rPr>
                <w:rFonts w:hint="eastAsia" w:ascii="宋体" w:hAnsi="宋体" w:eastAsia="宋体" w:cs="Times New Roman"/>
                <w:color w:val="000000"/>
                <w:kern w:val="2"/>
                <w:sz w:val="21"/>
                <w:szCs w:val="21"/>
                <w:lang w:val="en-US" w:eastAsia="zh-CN" w:bidi="ar-SA"/>
              </w:rPr>
              <w:t>5、投标企业提供带 CMA、ILAC MRA、CNAS标识 防霉金属表面静电喷涂有效期内的检测报告复印件加盖生产厂商公章或投标人公章(检测结果：长霉等级为0级或以上的）。满足的得2分，不满足的不得分。</w:t>
            </w:r>
          </w:p>
        </w:tc>
      </w:tr>
    </w:tbl>
    <w:p>
      <w:pPr>
        <w:spacing w:line="460" w:lineRule="exact"/>
        <w:rPr>
          <w:rFonts w:hint="eastAsia" w:ascii="宋体" w:hAnsi="宋体"/>
          <w:b/>
          <w:bCs/>
          <w:color w:val="000000"/>
          <w:szCs w:val="21"/>
        </w:rPr>
      </w:pPr>
    </w:p>
    <w:p>
      <w:pPr>
        <w:spacing w:line="460" w:lineRule="exact"/>
        <w:rPr>
          <w:rFonts w:ascii="宋体" w:hAnsi="宋体"/>
          <w:b/>
          <w:bCs/>
          <w:color w:val="000000"/>
          <w:szCs w:val="21"/>
        </w:rPr>
      </w:pPr>
      <w:r>
        <w:rPr>
          <w:rFonts w:hint="eastAsia" w:ascii="宋体" w:hAnsi="宋体"/>
          <w:b/>
          <w:bCs/>
          <w:color w:val="000000"/>
          <w:szCs w:val="21"/>
          <w:lang w:val="en-US" w:eastAsia="zh-CN"/>
        </w:rPr>
        <w:t>暗标</w:t>
      </w:r>
      <w:r>
        <w:rPr>
          <w:rFonts w:hint="eastAsia" w:ascii="宋体" w:hAnsi="宋体"/>
          <w:b/>
          <w:bCs/>
          <w:color w:val="000000"/>
          <w:szCs w:val="21"/>
        </w:rPr>
        <w:t>评审</w:t>
      </w:r>
      <w:r>
        <w:rPr>
          <w:rFonts w:hint="eastAsia" w:ascii="宋体" w:hAnsi="宋体"/>
          <w:b/>
          <w:bCs/>
          <w:color w:val="000000"/>
          <w:szCs w:val="21"/>
          <w:lang w:val="en-US" w:eastAsia="zh-CN"/>
        </w:rPr>
        <w:t>部分</w:t>
      </w:r>
      <w:r>
        <w:rPr>
          <w:rFonts w:hint="eastAsia" w:ascii="宋体" w:hAnsi="宋体"/>
          <w:b/>
          <w:bCs/>
          <w:color w:val="000000"/>
          <w:szCs w:val="21"/>
        </w:rPr>
        <w:t>（</w:t>
      </w:r>
      <w:r>
        <w:rPr>
          <w:rFonts w:hint="eastAsia" w:ascii="宋体" w:hAnsi="宋体"/>
          <w:b/>
          <w:bCs/>
          <w:color w:val="000000"/>
          <w:szCs w:val="21"/>
          <w:lang w:val="en-US" w:eastAsia="zh-CN"/>
        </w:rPr>
        <w:t>45</w:t>
      </w:r>
      <w:r>
        <w:rPr>
          <w:rFonts w:hint="eastAsia" w:ascii="宋体" w:hAnsi="宋体"/>
          <w:b/>
          <w:bCs/>
          <w:color w:val="000000"/>
          <w:szCs w:val="21"/>
        </w:rPr>
        <w:t>分）</w:t>
      </w:r>
    </w:p>
    <w:tbl>
      <w:tblPr>
        <w:tblStyle w:val="32"/>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631"/>
        <w:gridCol w:w="865"/>
        <w:gridCol w:w="5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35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序号</w:t>
            </w:r>
          </w:p>
        </w:tc>
        <w:tc>
          <w:tcPr>
            <w:tcW w:w="137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评分标准</w:t>
            </w:r>
          </w:p>
        </w:tc>
        <w:tc>
          <w:tcPr>
            <w:tcW w:w="45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满分</w:t>
            </w:r>
          </w:p>
        </w:tc>
        <w:tc>
          <w:tcPr>
            <w:tcW w:w="281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jc w:val="center"/>
        </w:trPr>
        <w:tc>
          <w:tcPr>
            <w:tcW w:w="352" w:type="pct"/>
            <w:tcBorders>
              <w:top w:val="single" w:color="auto" w:sz="4" w:space="0"/>
              <w:left w:val="single" w:color="auto" w:sz="4" w:space="0"/>
              <w:right w:val="single" w:color="auto" w:sz="4" w:space="0"/>
            </w:tcBorders>
            <w:vAlign w:val="center"/>
          </w:tcPr>
          <w:p>
            <w:pPr>
              <w:spacing w:line="260" w:lineRule="exact"/>
              <w:jc w:val="center"/>
              <w:rPr>
                <w:rFonts w:ascii="宋体" w:hAnsi="宋体"/>
                <w:szCs w:val="21"/>
              </w:rPr>
            </w:pPr>
            <w:r>
              <w:rPr>
                <w:rFonts w:hint="eastAsia" w:ascii="宋体" w:hAnsi="宋体" w:cs="Times New Roman"/>
                <w:color w:val="000000"/>
                <w:szCs w:val="21"/>
                <w:lang w:val="en-US" w:eastAsia="zh-CN"/>
              </w:rPr>
              <w:t>2</w:t>
            </w:r>
          </w:p>
        </w:tc>
        <w:tc>
          <w:tcPr>
            <w:tcW w:w="1375" w:type="pct"/>
            <w:tcBorders>
              <w:top w:val="single" w:color="auto" w:sz="4" w:space="0"/>
              <w:left w:val="single" w:color="auto" w:sz="4" w:space="0"/>
              <w:right w:val="single" w:color="auto" w:sz="4" w:space="0"/>
            </w:tcBorders>
            <w:vAlign w:val="center"/>
          </w:tcPr>
          <w:p>
            <w:pPr>
              <w:spacing w:line="260" w:lineRule="exact"/>
              <w:jc w:val="left"/>
              <w:rPr>
                <w:rFonts w:hint="eastAsia" w:ascii="宋体" w:hAnsi="宋体" w:cs="Times New Roman"/>
                <w:color w:val="000000"/>
                <w:szCs w:val="21"/>
              </w:rPr>
            </w:pPr>
            <w:r>
              <w:rPr>
                <w:rFonts w:hint="eastAsia" w:ascii="宋体" w:hAnsi="宋体" w:cs="Times New Roman"/>
                <w:color w:val="000000"/>
                <w:szCs w:val="21"/>
              </w:rPr>
              <w:t>技术条款响应情况</w:t>
            </w:r>
          </w:p>
        </w:tc>
        <w:tc>
          <w:tcPr>
            <w:tcW w:w="452" w:type="pct"/>
            <w:tcBorders>
              <w:top w:val="single" w:color="auto" w:sz="4" w:space="0"/>
              <w:left w:val="single" w:color="auto" w:sz="4" w:space="0"/>
              <w:right w:val="single" w:color="auto" w:sz="4" w:space="0"/>
            </w:tcBorders>
            <w:vAlign w:val="center"/>
          </w:tcPr>
          <w:p>
            <w:pPr>
              <w:spacing w:line="260" w:lineRule="exact"/>
              <w:jc w:val="left"/>
              <w:rPr>
                <w:rFonts w:hint="eastAsia" w:ascii="宋体" w:hAnsi="宋体" w:cs="Times New Roman"/>
                <w:color w:val="000000"/>
                <w:szCs w:val="21"/>
                <w:lang w:eastAsia="zh-CN"/>
              </w:rPr>
            </w:pPr>
            <w:r>
              <w:rPr>
                <w:rFonts w:hint="eastAsia" w:ascii="宋体" w:hAnsi="宋体" w:cs="Times New Roman"/>
                <w:color w:val="000000"/>
                <w:szCs w:val="21"/>
                <w:lang w:val="en-US" w:eastAsia="zh-CN"/>
              </w:rPr>
              <w:t>40</w:t>
            </w:r>
            <w:r>
              <w:rPr>
                <w:rFonts w:hint="eastAsia" w:ascii="宋体" w:hAnsi="宋体" w:cs="Times New Roman"/>
                <w:color w:val="000000"/>
                <w:szCs w:val="21"/>
              </w:rPr>
              <w:t>分</w:t>
            </w:r>
          </w:p>
        </w:tc>
        <w:tc>
          <w:tcPr>
            <w:tcW w:w="2819" w:type="pct"/>
            <w:tcBorders>
              <w:top w:val="single" w:color="auto" w:sz="4" w:space="0"/>
              <w:left w:val="single" w:color="auto" w:sz="4" w:space="0"/>
              <w:right w:val="single" w:color="auto" w:sz="4" w:space="0"/>
            </w:tcBorders>
            <w:vAlign w:val="center"/>
          </w:tcPr>
          <w:p>
            <w:pPr>
              <w:spacing w:line="260" w:lineRule="exact"/>
              <w:jc w:val="left"/>
              <w:rPr>
                <w:rFonts w:hint="eastAsia" w:ascii="宋体" w:hAnsi="宋体" w:eastAsia="宋体" w:cs="Times New Roman"/>
                <w:color w:val="000000"/>
                <w:szCs w:val="21"/>
                <w:lang w:val="zh-CN" w:eastAsia="zh-CN"/>
              </w:rPr>
            </w:pPr>
            <w:r>
              <w:rPr>
                <w:rFonts w:hint="eastAsia" w:ascii="宋体" w:hAnsi="宋体" w:eastAsia="宋体" w:cs="Times New Roman"/>
                <w:color w:val="000000"/>
                <w:szCs w:val="21"/>
                <w:lang w:val="zh-CN" w:eastAsia="zh-CN"/>
              </w:rPr>
              <w:t>1、</w:t>
            </w:r>
            <w:r>
              <w:rPr>
                <w:rFonts w:hint="eastAsia" w:ascii="宋体" w:hAnsi="宋体" w:eastAsia="宋体" w:cs="Times New Roman"/>
                <w:color w:val="000000"/>
                <w:szCs w:val="21"/>
                <w:lang w:val="en-US" w:eastAsia="zh-CN"/>
              </w:rPr>
              <w:t>投标</w:t>
            </w:r>
            <w:r>
              <w:rPr>
                <w:rFonts w:hint="default" w:ascii="宋体" w:hAnsi="宋体" w:eastAsia="宋体" w:cs="Times New Roman"/>
                <w:color w:val="000000"/>
                <w:szCs w:val="21"/>
                <w:lang w:eastAsia="zh-CN"/>
              </w:rPr>
              <w:t>企业</w:t>
            </w:r>
            <w:r>
              <w:rPr>
                <w:rFonts w:hint="eastAsia" w:ascii="宋体" w:hAnsi="宋体" w:eastAsia="宋体" w:cs="Times New Roman"/>
                <w:color w:val="000000"/>
                <w:szCs w:val="21"/>
                <w:lang w:val="zh-CN" w:eastAsia="zh-CN"/>
              </w:rPr>
              <w:t>所投产品技术要求完全满足或优于招标文件要求的得</w:t>
            </w:r>
            <w:r>
              <w:rPr>
                <w:rFonts w:hint="eastAsia" w:ascii="宋体" w:hAnsi="宋体" w:eastAsia="宋体" w:cs="Times New Roman"/>
                <w:color w:val="000000"/>
                <w:szCs w:val="21"/>
                <w:lang w:val="en-US" w:eastAsia="zh-CN"/>
              </w:rPr>
              <w:t>40</w:t>
            </w:r>
            <w:r>
              <w:rPr>
                <w:rFonts w:hint="eastAsia" w:ascii="宋体" w:hAnsi="宋体" w:eastAsia="宋体" w:cs="Times New Roman"/>
                <w:color w:val="000000"/>
                <w:szCs w:val="21"/>
                <w:lang w:val="zh-CN" w:eastAsia="zh-CN"/>
              </w:rPr>
              <w:t xml:space="preserve">分； </w:t>
            </w:r>
          </w:p>
          <w:p>
            <w:pPr>
              <w:spacing w:line="260" w:lineRule="exact"/>
              <w:jc w:val="left"/>
              <w:rPr>
                <w:rFonts w:hint="eastAsia" w:ascii="宋体" w:hAnsi="宋体" w:eastAsia="宋体" w:cs="Times New Roman"/>
                <w:color w:val="000000"/>
                <w:szCs w:val="21"/>
                <w:lang w:val="zh-CN" w:eastAsia="zh-CN"/>
              </w:rPr>
            </w:pPr>
            <w:r>
              <w:rPr>
                <w:rFonts w:hint="eastAsia" w:ascii="宋体" w:hAnsi="宋体" w:eastAsia="宋体" w:cs="Times New Roman"/>
                <w:color w:val="000000"/>
                <w:szCs w:val="21"/>
                <w:lang w:val="zh-CN" w:eastAsia="zh-CN"/>
              </w:rPr>
              <w:t xml:space="preserve">2、标注▲技术要求负偏离的，每项扣 </w:t>
            </w: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lang w:val="zh-CN" w:eastAsia="zh-CN"/>
              </w:rPr>
              <w:t>分，</w:t>
            </w:r>
            <w:r>
              <w:rPr>
                <w:rFonts w:hint="eastAsia" w:ascii="宋体" w:hAnsi="宋体" w:eastAsia="宋体" w:cs="Times New Roman"/>
                <w:color w:val="000000"/>
                <w:szCs w:val="21"/>
                <w:lang w:val="en-US" w:eastAsia="zh-CN"/>
              </w:rPr>
              <w:t>超过5项不满足得0分，扣完为止</w:t>
            </w:r>
            <w:r>
              <w:rPr>
                <w:rFonts w:hint="eastAsia" w:ascii="宋体" w:hAnsi="宋体" w:eastAsia="宋体" w:cs="Times New Roman"/>
                <w:color w:val="000000"/>
                <w:szCs w:val="21"/>
                <w:lang w:val="zh-CN" w:eastAsia="zh-CN"/>
              </w:rPr>
              <w:t xml:space="preserve">。 </w:t>
            </w:r>
          </w:p>
          <w:p>
            <w:pPr>
              <w:spacing w:line="260" w:lineRule="exact"/>
              <w:jc w:val="left"/>
              <w:rPr>
                <w:rFonts w:hint="eastAsia" w:ascii="宋体" w:hAnsi="宋体" w:cs="Times New Roman"/>
                <w:color w:val="000000"/>
                <w:szCs w:val="21"/>
              </w:rPr>
            </w:pPr>
            <w:r>
              <w:rPr>
                <w:rFonts w:hint="eastAsia" w:ascii="宋体" w:hAnsi="宋体" w:eastAsia="宋体" w:cs="Times New Roman"/>
                <w:color w:val="000000"/>
                <w:szCs w:val="21"/>
                <w:lang w:val="zh-CN" w:eastAsia="zh-CN"/>
              </w:rPr>
              <w:t>注：以投标供应商提供的投标响应表及采购需求要求而提供的证明材料作为评审依据。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jc w:val="center"/>
        </w:trPr>
        <w:tc>
          <w:tcPr>
            <w:tcW w:w="352" w:type="pct"/>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1375" w:type="pct"/>
            <w:tcBorders>
              <w:top w:val="single" w:color="auto" w:sz="4" w:space="0"/>
              <w:left w:val="single" w:color="auto" w:sz="4" w:space="0"/>
              <w:right w:val="single" w:color="auto" w:sz="4" w:space="0"/>
            </w:tcBorders>
            <w:vAlign w:val="center"/>
          </w:tcPr>
          <w:p>
            <w:pPr>
              <w:spacing w:line="260" w:lineRule="exact"/>
              <w:jc w:val="left"/>
              <w:rPr>
                <w:rFonts w:hint="eastAsia" w:ascii="宋体" w:hAnsi="宋体" w:cs="Times New Roman"/>
                <w:color w:val="000000"/>
                <w:szCs w:val="21"/>
              </w:rPr>
            </w:pPr>
            <w:r>
              <w:rPr>
                <w:rFonts w:hint="eastAsia" w:ascii="宋体" w:hAnsi="宋体" w:cs="Times New Roman"/>
                <w:color w:val="000000"/>
                <w:szCs w:val="21"/>
              </w:rPr>
              <w:t>实施方案</w:t>
            </w:r>
          </w:p>
        </w:tc>
        <w:tc>
          <w:tcPr>
            <w:tcW w:w="452" w:type="pct"/>
            <w:tcBorders>
              <w:top w:val="single" w:color="auto" w:sz="4" w:space="0"/>
              <w:left w:val="single" w:color="auto" w:sz="4" w:space="0"/>
              <w:right w:val="single" w:color="auto" w:sz="4" w:space="0"/>
            </w:tcBorders>
            <w:vAlign w:val="center"/>
          </w:tcPr>
          <w:p>
            <w:pPr>
              <w:spacing w:line="260" w:lineRule="exact"/>
              <w:jc w:val="left"/>
              <w:rPr>
                <w:rFonts w:hint="eastAsia" w:ascii="宋体" w:hAnsi="宋体" w:cs="Times New Roman"/>
                <w:color w:val="000000"/>
                <w:szCs w:val="21"/>
              </w:rPr>
            </w:pPr>
            <w:r>
              <w:rPr>
                <w:rFonts w:hint="eastAsia" w:ascii="宋体" w:hAnsi="宋体" w:cs="Times New Roman"/>
                <w:color w:val="000000"/>
                <w:szCs w:val="21"/>
                <w:lang w:val="en-US" w:eastAsia="zh-CN"/>
              </w:rPr>
              <w:t>3</w:t>
            </w:r>
            <w:r>
              <w:rPr>
                <w:rFonts w:hint="eastAsia" w:ascii="宋体" w:hAnsi="宋体" w:cs="Times New Roman"/>
                <w:color w:val="000000"/>
                <w:szCs w:val="21"/>
              </w:rPr>
              <w:t>分</w:t>
            </w:r>
          </w:p>
        </w:tc>
        <w:tc>
          <w:tcPr>
            <w:tcW w:w="2819" w:type="pct"/>
            <w:tcBorders>
              <w:top w:val="single" w:color="auto" w:sz="4" w:space="0"/>
              <w:left w:val="single" w:color="auto" w:sz="4" w:space="0"/>
              <w:right w:val="single" w:color="auto" w:sz="4" w:space="0"/>
            </w:tcBorders>
            <w:vAlign w:val="center"/>
          </w:tcPr>
          <w:p>
            <w:pPr>
              <w:pStyle w:val="18"/>
              <w:spacing w:line="400" w:lineRule="exact"/>
              <w:jc w:val="left"/>
              <w:outlineLvl w:val="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由评委根据符合资格进入详细评分的所有投标人针对其投标文件中的项目实施方案的描述、人员组织安排、项目实施步骤、进度规划、项目验收方案等方面进行综合评审，各评委按照分档技术标准打分确定档次，不能先定档后打分。</w:t>
            </w:r>
          </w:p>
          <w:p>
            <w:pPr>
              <w:pStyle w:val="18"/>
              <w:spacing w:line="400" w:lineRule="exact"/>
              <w:jc w:val="left"/>
              <w:outlineLvl w:val="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一档：方案简单、基本满足项目实施要求，综合评定差得 1分。</w:t>
            </w:r>
          </w:p>
          <w:p>
            <w:pPr>
              <w:pStyle w:val="18"/>
              <w:spacing w:line="400" w:lineRule="exact"/>
              <w:jc w:val="left"/>
              <w:outlineLvl w:val="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二档：方案较详细、人员配备合理，进度有保障，能满足项目实施需要，综合评定良好得2分。</w:t>
            </w:r>
          </w:p>
          <w:p>
            <w:pPr>
              <w:spacing w:line="260" w:lineRule="exact"/>
              <w:jc w:val="left"/>
              <w:rPr>
                <w:rFonts w:hint="eastAsia" w:ascii="宋体" w:hAnsi="宋体" w:cs="Times New Roman"/>
                <w:color w:val="000000"/>
                <w:szCs w:val="21"/>
              </w:rPr>
            </w:pPr>
            <w:r>
              <w:rPr>
                <w:rFonts w:hint="eastAsia" w:ascii="宋体" w:hAnsi="宋体" w:eastAsia="宋体" w:cs="Times New Roman"/>
                <w:color w:val="000000"/>
                <w:kern w:val="2"/>
                <w:sz w:val="21"/>
                <w:szCs w:val="21"/>
                <w:lang w:val="en-US" w:eastAsia="zh-CN" w:bidi="ar-SA"/>
              </w:rPr>
              <w:t>三档：方案详细，组织机构健全，实施人员配备完备，实施步骤流程合理，方案考虑周全，进度有保障，综合评定优秀得3分。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352" w:type="pct"/>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1375" w:type="pct"/>
            <w:tcBorders>
              <w:top w:val="single" w:color="auto" w:sz="4" w:space="0"/>
              <w:left w:val="single" w:color="auto" w:sz="4" w:space="0"/>
              <w:right w:val="single" w:color="auto" w:sz="4" w:space="0"/>
            </w:tcBorders>
            <w:vAlign w:val="center"/>
          </w:tcPr>
          <w:p>
            <w:pPr>
              <w:spacing w:line="260" w:lineRule="exact"/>
              <w:jc w:val="left"/>
              <w:rPr>
                <w:rFonts w:hint="eastAsia" w:ascii="宋体" w:hAnsi="宋体" w:cs="Times New Roman"/>
                <w:color w:val="000000"/>
                <w:szCs w:val="21"/>
              </w:rPr>
            </w:pPr>
            <w:r>
              <w:rPr>
                <w:rFonts w:hint="eastAsia" w:ascii="宋体" w:hAnsi="宋体" w:cs="Times New Roman"/>
                <w:color w:val="000000"/>
                <w:szCs w:val="21"/>
              </w:rPr>
              <w:t>售后服务承诺及保证措施</w:t>
            </w:r>
          </w:p>
        </w:tc>
        <w:tc>
          <w:tcPr>
            <w:tcW w:w="452" w:type="pct"/>
            <w:tcBorders>
              <w:top w:val="single" w:color="auto" w:sz="4" w:space="0"/>
              <w:left w:val="single" w:color="auto" w:sz="4" w:space="0"/>
              <w:right w:val="single" w:color="auto" w:sz="4" w:space="0"/>
            </w:tcBorders>
            <w:vAlign w:val="center"/>
          </w:tcPr>
          <w:p>
            <w:pPr>
              <w:spacing w:line="260" w:lineRule="exact"/>
              <w:jc w:val="lef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r>
              <w:rPr>
                <w:rFonts w:hint="eastAsia" w:ascii="宋体" w:hAnsi="宋体" w:cs="Times New Roman"/>
                <w:color w:val="000000"/>
                <w:szCs w:val="21"/>
              </w:rPr>
              <w:t>分</w:t>
            </w:r>
          </w:p>
        </w:tc>
        <w:tc>
          <w:tcPr>
            <w:tcW w:w="2819" w:type="pct"/>
            <w:tcBorders>
              <w:top w:val="single" w:color="auto" w:sz="4" w:space="0"/>
              <w:left w:val="single" w:color="auto" w:sz="4" w:space="0"/>
              <w:right w:val="single" w:color="auto" w:sz="4" w:space="0"/>
            </w:tcBorders>
            <w:vAlign w:val="center"/>
          </w:tcPr>
          <w:p>
            <w:pPr>
              <w:spacing w:line="260" w:lineRule="exact"/>
              <w:jc w:val="left"/>
              <w:rPr>
                <w:rFonts w:hint="eastAsia" w:ascii="宋体" w:hAnsi="宋体" w:cs="Times New Roman"/>
                <w:color w:val="000000"/>
                <w:szCs w:val="21"/>
              </w:rPr>
            </w:pPr>
            <w:r>
              <w:rPr>
                <w:rFonts w:hint="eastAsia" w:ascii="宋体" w:hAnsi="宋体" w:eastAsia="宋体" w:cs="Times New Roman"/>
                <w:color w:val="000000"/>
                <w:szCs w:val="21"/>
              </w:rPr>
              <w:t xml:space="preserve">根据投标文件作出的具体售后服务承诺、软件升级服务承诺、故障响应时间及故障处理方案、定期巡检方案进行对比评分，符合采购人实际情况的得 </w:t>
            </w: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分、基本满足采购需求的得 1分、一般不得分，无承诺或方案不合理的不得分。</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lang w:eastAsia="zh-CN"/>
        </w:rPr>
        <w:t>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1、</w:t>
      </w:r>
      <w:r>
        <w:rPr>
          <w:rFonts w:hint="eastAsia" w:ascii="华文中宋" w:hAnsi="华文中宋" w:eastAsia="华文中宋" w:cs="华文中宋"/>
          <w:sz w:val="24"/>
          <w:szCs w:val="24"/>
        </w:rPr>
        <w:t>得分计算小数点后保留两位，第三位四舍五入。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2、</w:t>
      </w:r>
      <w:r>
        <w:rPr>
          <w:rFonts w:hint="eastAsia" w:ascii="华文中宋" w:hAnsi="华文中宋" w:eastAsia="华文中宋" w:cs="华文中宋"/>
          <w:sz w:val="24"/>
          <w:szCs w:val="24"/>
        </w:rPr>
        <w:t>投标人最终得分为所有评委打分的算术平均值。</w:t>
      </w:r>
    </w:p>
    <w:p>
      <w:pPr>
        <w:pStyle w:val="31"/>
        <w:ind w:left="0" w:leftChars="0" w:firstLine="0" w:firstLineChars="0"/>
        <w:rPr>
          <w:rFonts w:hint="eastAsia" w:eastAsia="华文中宋"/>
          <w:lang w:val="en-US" w:eastAsia="zh-CN"/>
        </w:rPr>
      </w:pPr>
      <w:r>
        <w:rPr>
          <w:rFonts w:hint="eastAsia" w:ascii="华文中宋" w:hAnsi="华文中宋" w:eastAsia="华文中宋" w:cs="华文中宋"/>
          <w:sz w:val="24"/>
          <w:szCs w:val="24"/>
          <w:lang w:val="en-US" w:eastAsia="zh-CN"/>
        </w:rPr>
        <w:t>3、</w:t>
      </w:r>
      <w:r>
        <w:rPr>
          <w:rFonts w:hint="eastAsia" w:ascii="Arial" w:hAnsi="Arial" w:eastAsia="Arial" w:cs="Arial"/>
          <w:i w:val="0"/>
          <w:iCs w:val="0"/>
          <w:caps w:val="0"/>
          <w:color w:val="191919"/>
          <w:spacing w:val="0"/>
          <w:sz w:val="24"/>
          <w:szCs w:val="24"/>
          <w:shd w:val="clear" w:fill="FFFFFF"/>
        </w:rPr>
        <w:t>投标人报价明显低于其他投标人的报价，有可能影响产品质量或者不能诚信履约的，且不能证明其报价合理性的，评标委员会应当将其作为无效投标处理。</w:t>
      </w:r>
    </w:p>
    <w:p>
      <w:pPr>
        <w:spacing w:line="440" w:lineRule="exact"/>
        <w:jc w:val="center"/>
        <w:rPr>
          <w:rStyle w:val="65"/>
          <w:rFonts w:hint="eastAsia"/>
          <w:color w:val="auto"/>
          <w:kern w:val="0"/>
          <w:sz w:val="30"/>
          <w:szCs w:val="30"/>
          <w:highlight w:val="none"/>
        </w:rPr>
      </w:pPr>
      <w:bookmarkStart w:id="27" w:name="_Toc423621775"/>
      <w:r>
        <w:rPr>
          <w:rStyle w:val="65"/>
          <w:rFonts w:hint="eastAsia"/>
          <w:color w:val="auto"/>
          <w:sz w:val="30"/>
          <w:szCs w:val="30"/>
          <w:highlight w:val="none"/>
        </w:rPr>
        <w:br w:type="page"/>
      </w:r>
      <w:bookmarkStart w:id="28" w:name="_Toc11343"/>
      <w:r>
        <w:rPr>
          <w:rStyle w:val="65"/>
          <w:rFonts w:hint="eastAsia"/>
          <w:color w:val="auto"/>
          <w:sz w:val="30"/>
          <w:szCs w:val="30"/>
          <w:highlight w:val="none"/>
        </w:rPr>
        <w:t>第七部分  资格审查</w:t>
      </w:r>
      <w:bookmarkEnd w:id="27"/>
      <w:bookmarkEnd w:id="28"/>
    </w:p>
    <w:p>
      <w:pPr>
        <w:snapToGrid w:val="0"/>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资格后审必要合格条件标准</w:t>
      </w:r>
    </w:p>
    <w:tbl>
      <w:tblPr>
        <w:tblStyle w:val="3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3779"/>
        <w:gridCol w:w="1700"/>
        <w:gridCol w:w="200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76" w:type="dxa"/>
            <w:vAlign w:val="center"/>
          </w:tcPr>
          <w:p>
            <w:pPr>
              <w:snapToGrid w:val="0"/>
              <w:jc w:val="center"/>
              <w:rPr>
                <w:rFonts w:ascii="宋体" w:hAnsi="宋体"/>
                <w:szCs w:val="21"/>
                <w:highlight w:val="none"/>
              </w:rPr>
            </w:pPr>
            <w:r>
              <w:rPr>
                <w:rFonts w:hint="eastAsia" w:ascii="宋体" w:hAnsi="宋体"/>
                <w:szCs w:val="21"/>
                <w:highlight w:val="none"/>
              </w:rPr>
              <w:t>序号</w:t>
            </w:r>
          </w:p>
        </w:tc>
        <w:tc>
          <w:tcPr>
            <w:tcW w:w="3779" w:type="dxa"/>
            <w:vAlign w:val="center"/>
          </w:tcPr>
          <w:p>
            <w:pPr>
              <w:snapToGrid w:val="0"/>
              <w:jc w:val="center"/>
              <w:rPr>
                <w:rFonts w:ascii="宋体" w:hAnsi="宋体"/>
                <w:szCs w:val="21"/>
                <w:highlight w:val="none"/>
              </w:rPr>
            </w:pPr>
            <w:r>
              <w:rPr>
                <w:rFonts w:hint="eastAsia" w:ascii="宋体" w:hAnsi="宋体"/>
                <w:szCs w:val="21"/>
                <w:highlight w:val="none"/>
              </w:rPr>
              <w:t>项目内容</w:t>
            </w:r>
          </w:p>
        </w:tc>
        <w:tc>
          <w:tcPr>
            <w:tcW w:w="1700" w:type="dxa"/>
            <w:vAlign w:val="center"/>
          </w:tcPr>
          <w:p>
            <w:pPr>
              <w:snapToGrid w:val="0"/>
              <w:jc w:val="center"/>
              <w:rPr>
                <w:rFonts w:ascii="宋体" w:hAnsi="宋体"/>
                <w:szCs w:val="21"/>
                <w:highlight w:val="none"/>
              </w:rPr>
            </w:pPr>
            <w:r>
              <w:rPr>
                <w:rFonts w:hint="eastAsia" w:ascii="宋体" w:hAnsi="宋体"/>
                <w:szCs w:val="21"/>
                <w:highlight w:val="none"/>
              </w:rPr>
              <w:t>合格条件</w:t>
            </w:r>
          </w:p>
        </w:tc>
        <w:tc>
          <w:tcPr>
            <w:tcW w:w="2000" w:type="dxa"/>
            <w:vAlign w:val="center"/>
          </w:tcPr>
          <w:p>
            <w:pPr>
              <w:snapToGrid w:val="0"/>
              <w:jc w:val="center"/>
              <w:rPr>
                <w:rFonts w:ascii="宋体" w:hAnsi="宋体"/>
                <w:szCs w:val="21"/>
                <w:highlight w:val="none"/>
              </w:rPr>
            </w:pPr>
            <w:r>
              <w:rPr>
                <w:rFonts w:hint="eastAsia" w:ascii="宋体" w:hAnsi="宋体"/>
                <w:szCs w:val="21"/>
                <w:highlight w:val="none"/>
              </w:rPr>
              <w:t>备注</w:t>
            </w:r>
          </w:p>
        </w:tc>
        <w:tc>
          <w:tcPr>
            <w:tcW w:w="1345" w:type="dxa"/>
            <w:vAlign w:val="center"/>
          </w:tcPr>
          <w:p>
            <w:pPr>
              <w:snapToGrid w:val="0"/>
              <w:jc w:val="center"/>
              <w:rPr>
                <w:rFonts w:ascii="宋体" w:hAnsi="宋体"/>
                <w:szCs w:val="21"/>
                <w:highlight w:val="none"/>
              </w:rPr>
            </w:pPr>
            <w:r>
              <w:rPr>
                <w:rFonts w:hint="eastAsia" w:ascii="宋体" w:hAnsi="宋体"/>
                <w:szCs w:val="21"/>
                <w:highlight w:val="none"/>
              </w:rPr>
              <w:t>是否合格及</w:t>
            </w:r>
          </w:p>
          <w:p>
            <w:pPr>
              <w:snapToGrid w:val="0"/>
              <w:jc w:val="center"/>
              <w:rPr>
                <w:rFonts w:ascii="宋体" w:hAnsi="宋体"/>
                <w:szCs w:val="21"/>
                <w:highlight w:val="none"/>
              </w:rPr>
            </w:pPr>
            <w:r>
              <w:rPr>
                <w:rFonts w:hint="eastAsia" w:ascii="宋体" w:hAnsi="宋体"/>
                <w:szCs w:val="21"/>
                <w:highlight w:val="none"/>
              </w:rPr>
              <w:t>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76" w:type="dxa"/>
            <w:vAlign w:val="center"/>
          </w:tcPr>
          <w:p>
            <w:pPr>
              <w:snapToGrid w:val="0"/>
              <w:jc w:val="center"/>
              <w:rPr>
                <w:rFonts w:ascii="宋体" w:hAnsi="宋体"/>
                <w:szCs w:val="21"/>
                <w:highlight w:val="none"/>
              </w:rPr>
            </w:pPr>
            <w:r>
              <w:rPr>
                <w:rFonts w:hint="eastAsia" w:ascii="宋体" w:hAnsi="宋体"/>
                <w:szCs w:val="21"/>
                <w:highlight w:val="none"/>
              </w:rPr>
              <w:t>1</w:t>
            </w:r>
          </w:p>
        </w:tc>
        <w:tc>
          <w:tcPr>
            <w:tcW w:w="3779" w:type="dxa"/>
            <w:vAlign w:val="center"/>
          </w:tcPr>
          <w:p>
            <w:pPr>
              <w:snapToGrid w:val="0"/>
              <w:jc w:val="center"/>
              <w:rPr>
                <w:rFonts w:ascii="宋体" w:hAnsi="宋体"/>
                <w:szCs w:val="21"/>
                <w:highlight w:val="none"/>
              </w:rPr>
            </w:pPr>
            <w:r>
              <w:rPr>
                <w:rFonts w:hint="eastAsia" w:ascii="宋体" w:hAnsi="宋体"/>
                <w:szCs w:val="21"/>
                <w:highlight w:val="none"/>
              </w:rPr>
              <w:t>企业营业执照</w:t>
            </w:r>
          </w:p>
        </w:tc>
        <w:tc>
          <w:tcPr>
            <w:tcW w:w="1700" w:type="dxa"/>
            <w:vAlign w:val="center"/>
          </w:tcPr>
          <w:p>
            <w:pPr>
              <w:snapToGrid w:val="0"/>
              <w:jc w:val="center"/>
              <w:rPr>
                <w:rFonts w:ascii="宋体" w:hAnsi="宋体"/>
                <w:szCs w:val="21"/>
                <w:highlight w:val="none"/>
              </w:rPr>
            </w:pPr>
            <w:r>
              <w:rPr>
                <w:rFonts w:hint="eastAsia" w:ascii="宋体" w:hAnsi="宋体"/>
                <w:szCs w:val="21"/>
                <w:highlight w:val="none"/>
              </w:rPr>
              <w:t>按规定提供有效期限内</w:t>
            </w:r>
          </w:p>
        </w:tc>
        <w:tc>
          <w:tcPr>
            <w:tcW w:w="2000" w:type="dxa"/>
            <w:vAlign w:val="center"/>
          </w:tcPr>
          <w:p>
            <w:pPr>
              <w:snapToGrid w:val="0"/>
              <w:jc w:val="center"/>
              <w:rPr>
                <w:rFonts w:ascii="宋体" w:hAnsi="宋体"/>
                <w:szCs w:val="21"/>
                <w:highlight w:val="none"/>
              </w:rPr>
            </w:pPr>
          </w:p>
        </w:tc>
        <w:tc>
          <w:tcPr>
            <w:tcW w:w="1345" w:type="dxa"/>
            <w:vAlign w:val="center"/>
          </w:tcPr>
          <w:p>
            <w:pPr>
              <w:snapToGrid w:val="0"/>
              <w:ind w:firstLine="420" w:firstLineChars="20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76" w:type="dxa"/>
            <w:vAlign w:val="center"/>
          </w:tcPr>
          <w:p>
            <w:pPr>
              <w:snapToGrid w:val="0"/>
              <w:jc w:val="center"/>
              <w:rPr>
                <w:rFonts w:ascii="宋体" w:hAnsi="宋体"/>
                <w:szCs w:val="21"/>
                <w:highlight w:val="none"/>
              </w:rPr>
            </w:pPr>
            <w:r>
              <w:rPr>
                <w:rFonts w:hint="eastAsia" w:ascii="宋体" w:hAnsi="宋体"/>
                <w:szCs w:val="21"/>
                <w:highlight w:val="none"/>
              </w:rPr>
              <w:t>2</w:t>
            </w:r>
          </w:p>
        </w:tc>
        <w:tc>
          <w:tcPr>
            <w:tcW w:w="3779" w:type="dxa"/>
            <w:vAlign w:val="center"/>
          </w:tcPr>
          <w:p>
            <w:pPr>
              <w:snapToGrid w:val="0"/>
              <w:jc w:val="center"/>
              <w:rPr>
                <w:rFonts w:hint="eastAsia" w:ascii="宋体" w:hAnsi="宋体" w:cs="Times New Roman"/>
                <w:szCs w:val="21"/>
                <w:highlight w:val="none"/>
                <w:lang w:val="en-US" w:eastAsia="zh-CN"/>
              </w:rPr>
            </w:pPr>
            <w:r>
              <w:rPr>
                <w:rFonts w:hint="eastAsia" w:ascii="宋体" w:hAnsi="宋体" w:cs="Times New Roman"/>
                <w:szCs w:val="21"/>
                <w:highlight w:val="none"/>
              </w:rPr>
              <w:t>法定代表人证明书及法定代表人签署授权委托书、对应的身份证</w:t>
            </w:r>
          </w:p>
        </w:tc>
        <w:tc>
          <w:tcPr>
            <w:tcW w:w="1700" w:type="dxa"/>
            <w:vAlign w:val="center"/>
          </w:tcPr>
          <w:p>
            <w:pPr>
              <w:snapToGrid w:val="0"/>
              <w:jc w:val="center"/>
              <w:rPr>
                <w:rFonts w:hint="eastAsia" w:ascii="宋体" w:hAnsi="宋体" w:cs="Times New Roman"/>
                <w:szCs w:val="21"/>
                <w:highlight w:val="none"/>
                <w:lang w:val="en-US" w:eastAsia="zh-CN"/>
              </w:rPr>
            </w:pPr>
            <w:r>
              <w:rPr>
                <w:rFonts w:hint="eastAsia" w:ascii="宋体" w:hAnsi="宋体" w:cs="Times New Roman"/>
                <w:szCs w:val="21"/>
                <w:highlight w:val="none"/>
              </w:rPr>
              <w:t>有，符合招标文件要求</w:t>
            </w:r>
          </w:p>
        </w:tc>
        <w:tc>
          <w:tcPr>
            <w:tcW w:w="2000" w:type="dxa"/>
            <w:vAlign w:val="center"/>
          </w:tcPr>
          <w:p>
            <w:pPr>
              <w:snapToGrid w:val="0"/>
              <w:jc w:val="center"/>
              <w:rPr>
                <w:rFonts w:hint="eastAsia" w:ascii="宋体" w:hAnsi="宋体" w:cs="Times New Roman"/>
                <w:szCs w:val="21"/>
                <w:highlight w:val="none"/>
                <w:lang w:val="en-US" w:eastAsia="zh-CN"/>
              </w:rPr>
            </w:pPr>
          </w:p>
        </w:tc>
        <w:tc>
          <w:tcPr>
            <w:tcW w:w="1345" w:type="dxa"/>
            <w:vAlign w:val="center"/>
          </w:tcPr>
          <w:p>
            <w:pPr>
              <w:snapToGrid w:val="0"/>
              <w:jc w:val="center"/>
              <w:rPr>
                <w:rFonts w:hint="eastAsia" w:ascii="宋体" w:hAnsi="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76" w:type="dxa"/>
            <w:vAlign w:val="center"/>
          </w:tcPr>
          <w:p>
            <w:pPr>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3</w:t>
            </w:r>
          </w:p>
        </w:tc>
        <w:tc>
          <w:tcPr>
            <w:tcW w:w="3779" w:type="dxa"/>
            <w:vAlign w:val="center"/>
          </w:tcPr>
          <w:p>
            <w:pPr>
              <w:snapToGrid w:val="0"/>
              <w:jc w:val="cente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中小企业声明函</w:t>
            </w:r>
          </w:p>
        </w:tc>
        <w:tc>
          <w:tcPr>
            <w:tcW w:w="1700" w:type="dxa"/>
            <w:vAlign w:val="center"/>
          </w:tcPr>
          <w:p>
            <w:pPr>
              <w:snapToGrid w:val="0"/>
              <w:jc w:val="center"/>
              <w:rPr>
                <w:rFonts w:hint="eastAsia" w:ascii="宋体" w:hAnsi="宋体" w:cs="Times New Roman"/>
                <w:szCs w:val="21"/>
                <w:highlight w:val="none"/>
              </w:rPr>
            </w:pPr>
            <w:r>
              <w:rPr>
                <w:rFonts w:hint="eastAsia" w:ascii="宋体" w:hAnsi="宋体" w:cs="Times New Roman"/>
                <w:szCs w:val="21"/>
                <w:highlight w:val="none"/>
              </w:rPr>
              <w:t>按规定提供</w:t>
            </w:r>
          </w:p>
        </w:tc>
        <w:tc>
          <w:tcPr>
            <w:tcW w:w="2000" w:type="dxa"/>
            <w:vAlign w:val="center"/>
          </w:tcPr>
          <w:p>
            <w:pPr>
              <w:snapToGrid w:val="0"/>
              <w:jc w:val="center"/>
              <w:rPr>
                <w:rFonts w:hint="eastAsia" w:ascii="宋体" w:hAnsi="宋体" w:cs="Times New Roman"/>
                <w:szCs w:val="21"/>
                <w:highlight w:val="none"/>
                <w:lang w:val="en-US" w:eastAsia="zh-CN"/>
              </w:rPr>
            </w:pPr>
          </w:p>
        </w:tc>
        <w:tc>
          <w:tcPr>
            <w:tcW w:w="1345" w:type="dxa"/>
            <w:vAlign w:val="center"/>
          </w:tcPr>
          <w:p>
            <w:pPr>
              <w:snapToGrid w:val="0"/>
              <w:jc w:val="center"/>
              <w:rPr>
                <w:rFonts w:hint="eastAsia" w:ascii="宋体" w:hAnsi="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76" w:type="dxa"/>
            <w:vAlign w:val="center"/>
          </w:tcPr>
          <w:p>
            <w:pPr>
              <w:snapToGrid w:val="0"/>
              <w:jc w:val="center"/>
              <w:rPr>
                <w:rFonts w:ascii="宋体" w:hAnsi="宋体" w:eastAsia="宋体" w:cs="Times New Roman"/>
                <w:kern w:val="2"/>
                <w:sz w:val="21"/>
                <w:szCs w:val="21"/>
                <w:highlight w:val="none"/>
                <w:lang w:val="en-US" w:eastAsia="zh-CN" w:bidi="ar-SA"/>
              </w:rPr>
            </w:pPr>
            <w:r>
              <w:rPr>
                <w:rFonts w:hint="eastAsia" w:ascii="宋体" w:hAnsi="宋体"/>
                <w:szCs w:val="21"/>
                <w:highlight w:val="none"/>
              </w:rPr>
              <w:t>4</w:t>
            </w:r>
          </w:p>
        </w:tc>
        <w:tc>
          <w:tcPr>
            <w:tcW w:w="3779" w:type="dxa"/>
            <w:vAlign w:val="center"/>
          </w:tcPr>
          <w:p>
            <w:pPr>
              <w:snapToGrid w:val="0"/>
              <w:jc w:val="center"/>
              <w:rPr>
                <w:rFonts w:hint="eastAsia" w:ascii="宋体" w:hAnsi="宋体" w:cs="Times New Roman"/>
                <w:szCs w:val="21"/>
                <w:highlight w:val="none"/>
                <w:lang w:val="en-US" w:eastAsia="zh-CN"/>
              </w:rPr>
            </w:pPr>
            <w:r>
              <w:rPr>
                <w:rFonts w:hint="eastAsia" w:ascii="宋体" w:hAnsi="宋体" w:cs="Times New Roman"/>
                <w:szCs w:val="21"/>
                <w:highlight w:val="none"/>
              </w:rPr>
              <w:t>参加政府采购活动前三年内，在经营活动中没有重大违法记录的书面声明</w:t>
            </w:r>
          </w:p>
        </w:tc>
        <w:tc>
          <w:tcPr>
            <w:tcW w:w="1700" w:type="dxa"/>
            <w:vAlign w:val="center"/>
          </w:tcPr>
          <w:p>
            <w:pPr>
              <w:snapToGrid w:val="0"/>
              <w:jc w:val="center"/>
              <w:rPr>
                <w:rFonts w:hint="eastAsia" w:ascii="宋体" w:hAnsi="宋体" w:cs="Times New Roman"/>
                <w:szCs w:val="21"/>
                <w:highlight w:val="none"/>
                <w:lang w:val="en-US" w:eastAsia="zh-CN"/>
              </w:rPr>
            </w:pPr>
            <w:r>
              <w:rPr>
                <w:rFonts w:hint="eastAsia" w:ascii="宋体" w:hAnsi="宋体" w:cs="Times New Roman"/>
                <w:szCs w:val="21"/>
                <w:highlight w:val="none"/>
              </w:rPr>
              <w:t>按规定提供</w:t>
            </w:r>
          </w:p>
        </w:tc>
        <w:tc>
          <w:tcPr>
            <w:tcW w:w="2000" w:type="dxa"/>
            <w:vAlign w:val="center"/>
          </w:tcPr>
          <w:p>
            <w:pPr>
              <w:snapToGrid w:val="0"/>
              <w:jc w:val="center"/>
              <w:rPr>
                <w:rFonts w:hint="eastAsia" w:ascii="宋体" w:hAnsi="宋体" w:cs="Times New Roman"/>
                <w:szCs w:val="21"/>
                <w:highlight w:val="none"/>
                <w:lang w:val="en-US" w:eastAsia="zh-CN"/>
              </w:rPr>
            </w:pPr>
          </w:p>
        </w:tc>
        <w:tc>
          <w:tcPr>
            <w:tcW w:w="1345" w:type="dxa"/>
            <w:vAlign w:val="center"/>
          </w:tcPr>
          <w:p>
            <w:pPr>
              <w:snapToGrid w:val="0"/>
              <w:jc w:val="center"/>
              <w:rPr>
                <w:rFonts w:hint="eastAsia" w:ascii="宋体" w:hAnsi="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6" w:type="dxa"/>
            <w:vAlign w:val="center"/>
          </w:tcPr>
          <w:p>
            <w:pPr>
              <w:snapToGrid w:val="0"/>
              <w:jc w:val="center"/>
              <w:rPr>
                <w:rFonts w:ascii="宋体" w:hAnsi="宋体" w:eastAsia="宋体" w:cs="Times New Roman"/>
                <w:kern w:val="2"/>
                <w:sz w:val="21"/>
                <w:szCs w:val="21"/>
                <w:highlight w:val="none"/>
                <w:lang w:val="en-US" w:eastAsia="zh-CN" w:bidi="ar-SA"/>
              </w:rPr>
            </w:pPr>
            <w:r>
              <w:rPr>
                <w:rFonts w:hint="eastAsia" w:ascii="宋体" w:hAnsi="宋体"/>
                <w:szCs w:val="21"/>
                <w:highlight w:val="none"/>
              </w:rPr>
              <w:t>5</w:t>
            </w:r>
          </w:p>
        </w:tc>
        <w:tc>
          <w:tcPr>
            <w:tcW w:w="3779" w:type="dxa"/>
            <w:vAlign w:val="center"/>
          </w:tcPr>
          <w:p>
            <w:pPr>
              <w:snapToGrid w:val="0"/>
              <w:jc w:val="cente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投标企业具备良好的财务状况、依法缴纳税收和社会保障资金的承诺函</w:t>
            </w:r>
          </w:p>
        </w:tc>
        <w:tc>
          <w:tcPr>
            <w:tcW w:w="1700" w:type="dxa"/>
            <w:vAlign w:val="center"/>
          </w:tcPr>
          <w:p>
            <w:pPr>
              <w:snapToGrid w:val="0"/>
              <w:jc w:val="center"/>
              <w:rPr>
                <w:rFonts w:hint="eastAsia" w:ascii="宋体" w:hAnsi="宋体" w:cs="Times New Roman"/>
                <w:szCs w:val="21"/>
                <w:highlight w:val="none"/>
                <w:lang w:val="en-US" w:eastAsia="zh-CN"/>
              </w:rPr>
            </w:pPr>
            <w:r>
              <w:rPr>
                <w:rFonts w:hint="eastAsia" w:ascii="宋体" w:hAnsi="宋体" w:cs="Times New Roman"/>
                <w:szCs w:val="21"/>
                <w:highlight w:val="none"/>
              </w:rPr>
              <w:t>按规定提供</w:t>
            </w:r>
          </w:p>
        </w:tc>
        <w:tc>
          <w:tcPr>
            <w:tcW w:w="2000" w:type="dxa"/>
            <w:vAlign w:val="center"/>
          </w:tcPr>
          <w:p>
            <w:pPr>
              <w:snapToGrid w:val="0"/>
              <w:jc w:val="center"/>
              <w:rPr>
                <w:rFonts w:hint="eastAsia" w:ascii="宋体" w:hAnsi="宋体" w:cs="Times New Roman"/>
                <w:szCs w:val="21"/>
                <w:highlight w:val="none"/>
                <w:lang w:val="en-US" w:eastAsia="zh-CN"/>
              </w:rPr>
            </w:pPr>
          </w:p>
        </w:tc>
        <w:tc>
          <w:tcPr>
            <w:tcW w:w="1345" w:type="dxa"/>
            <w:vAlign w:val="center"/>
          </w:tcPr>
          <w:p>
            <w:pPr>
              <w:snapToGrid w:val="0"/>
              <w:jc w:val="center"/>
              <w:rPr>
                <w:rFonts w:hint="eastAsia" w:ascii="宋体" w:hAnsi="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76" w:type="dxa"/>
            <w:vAlign w:val="center"/>
          </w:tcPr>
          <w:p>
            <w:pPr>
              <w:snapToGrid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3779" w:type="dxa"/>
            <w:vAlign w:val="center"/>
          </w:tcPr>
          <w:p>
            <w:pPr>
              <w:snapToGrid w:val="0"/>
              <w:jc w:val="center"/>
              <w:rPr>
                <w:rFonts w:hint="eastAsia" w:ascii="宋体" w:hAnsi="宋体" w:cs="Times New Roman"/>
                <w:szCs w:val="21"/>
                <w:highlight w:val="none"/>
                <w:lang w:val="en-US" w:eastAsia="zh-CN"/>
              </w:rPr>
            </w:pPr>
            <w:r>
              <w:rPr>
                <w:rFonts w:hint="eastAsia" w:ascii="宋体" w:hAnsi="宋体" w:cs="Times New Roman"/>
                <w:szCs w:val="21"/>
                <w:highlight w:val="none"/>
              </w:rPr>
              <w:t>失信被执行人查询依据《关于在招标投标活动中对失信被执行人实施联合惩戒的通知》（法〔2016〕285号）文件规定，</w:t>
            </w:r>
            <w:r>
              <w:rPr>
                <w:rFonts w:hint="eastAsia" w:ascii="宋体" w:hAnsi="宋体" w:cs="Times New Roman"/>
                <w:szCs w:val="21"/>
                <w:highlight w:val="none"/>
                <w:lang w:eastAsia="zh-CN"/>
              </w:rPr>
              <w:t>采购人</w:t>
            </w:r>
            <w:r>
              <w:rPr>
                <w:rFonts w:hint="eastAsia" w:ascii="宋体" w:hAnsi="宋体" w:cs="Times New Roman"/>
                <w:szCs w:val="21"/>
                <w:highlight w:val="none"/>
              </w:rPr>
              <w:t>在本项目招投标活动中对属于失信被执行人且在处罚有效期内的投标单位将取消其投标资格。</w:t>
            </w:r>
          </w:p>
        </w:tc>
        <w:tc>
          <w:tcPr>
            <w:tcW w:w="1700" w:type="dxa"/>
            <w:vAlign w:val="center"/>
          </w:tcPr>
          <w:p>
            <w:pPr>
              <w:snapToGrid w:val="0"/>
              <w:jc w:val="center"/>
              <w:rPr>
                <w:rFonts w:hint="eastAsia" w:ascii="宋体" w:hAnsi="宋体" w:cs="Times New Roman"/>
                <w:szCs w:val="21"/>
                <w:highlight w:val="none"/>
                <w:lang w:val="en-US" w:eastAsia="zh-CN"/>
              </w:rPr>
            </w:pPr>
            <w:r>
              <w:rPr>
                <w:rFonts w:hint="eastAsia" w:ascii="宋体" w:hAnsi="宋体" w:cs="Times New Roman"/>
                <w:szCs w:val="21"/>
                <w:highlight w:val="none"/>
              </w:rPr>
              <w:t>未被列入</w:t>
            </w:r>
          </w:p>
        </w:tc>
        <w:tc>
          <w:tcPr>
            <w:tcW w:w="2000" w:type="dxa"/>
            <w:vAlign w:val="center"/>
          </w:tcPr>
          <w:p>
            <w:pPr>
              <w:snapToGrid w:val="0"/>
              <w:jc w:val="center"/>
              <w:rPr>
                <w:rFonts w:hint="default" w:ascii="宋体" w:hAnsi="宋体" w:cs="Times New Roman"/>
                <w:szCs w:val="21"/>
                <w:highlight w:val="none"/>
                <w:lang w:val="en-US" w:eastAsia="zh-CN"/>
              </w:rPr>
            </w:pPr>
            <w:r>
              <w:rPr>
                <w:rFonts w:hint="eastAsia" w:ascii="宋体" w:hAnsi="宋体" w:cs="Times New Roman"/>
                <w:szCs w:val="21"/>
                <w:highlight w:val="none"/>
              </w:rPr>
              <w:t>开标当天招标代理机构查询</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无需提供证明材料</w:t>
            </w:r>
          </w:p>
        </w:tc>
        <w:tc>
          <w:tcPr>
            <w:tcW w:w="1345" w:type="dxa"/>
            <w:vAlign w:val="center"/>
          </w:tcPr>
          <w:p>
            <w:pPr>
              <w:snapToGrid w:val="0"/>
              <w:jc w:val="center"/>
              <w:rPr>
                <w:rFonts w:hint="eastAsia" w:ascii="宋体" w:hAnsi="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055" w:type="dxa"/>
            <w:gridSpan w:val="4"/>
            <w:vAlign w:val="center"/>
          </w:tcPr>
          <w:p>
            <w:pPr>
              <w:snapToGrid w:val="0"/>
              <w:jc w:val="center"/>
              <w:rPr>
                <w:rFonts w:hint="eastAsia" w:ascii="宋体" w:hAnsi="宋体" w:cs="Times New Roman"/>
                <w:szCs w:val="21"/>
                <w:highlight w:val="none"/>
              </w:rPr>
            </w:pPr>
            <w:r>
              <w:rPr>
                <w:rFonts w:hint="eastAsia" w:ascii="宋体" w:hAnsi="宋体" w:cs="Times New Roman"/>
                <w:szCs w:val="21"/>
                <w:highlight w:val="none"/>
              </w:rPr>
              <w:t>结  论</w:t>
            </w:r>
          </w:p>
        </w:tc>
        <w:tc>
          <w:tcPr>
            <w:tcW w:w="1345" w:type="dxa"/>
            <w:vAlign w:val="center"/>
          </w:tcPr>
          <w:p>
            <w:pPr>
              <w:snapToGrid w:val="0"/>
              <w:jc w:val="center"/>
              <w:rPr>
                <w:rFonts w:hint="eastAsia" w:ascii="宋体" w:hAnsi="宋体" w:cs="Times New Roman"/>
                <w:szCs w:val="21"/>
                <w:highlight w:val="none"/>
              </w:rPr>
            </w:pPr>
            <w:r>
              <w:rPr>
                <w:rFonts w:hint="eastAsia" w:ascii="宋体" w:hAnsi="宋体" w:cs="Times New Roman"/>
                <w:szCs w:val="21"/>
                <w:highlight w:val="none"/>
              </w:rPr>
              <w:t>是否通过</w:t>
            </w:r>
          </w:p>
        </w:tc>
      </w:tr>
    </w:tbl>
    <w:p>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备注：</w:t>
      </w:r>
      <w:r>
        <w:rPr>
          <w:rFonts w:hint="eastAsia" w:ascii="宋体" w:hAnsi="宋体"/>
          <w:b/>
          <w:bCs/>
          <w:color w:val="auto"/>
          <w:sz w:val="24"/>
          <w:highlight w:val="none"/>
          <w:lang w:val="en-US" w:eastAsia="zh-CN"/>
        </w:rPr>
        <w:t>在电子投标文件上传时对资格审查文件进行单独上传</w:t>
      </w:r>
      <w:r>
        <w:rPr>
          <w:rFonts w:hint="eastAsia" w:ascii="宋体" w:hAnsi="宋体"/>
          <w:b/>
          <w:bCs/>
          <w:color w:val="auto"/>
          <w:sz w:val="24"/>
          <w:highlight w:val="none"/>
        </w:rPr>
        <w:t>。</w:t>
      </w:r>
    </w:p>
    <w:p>
      <w:pPr>
        <w:adjustRightInd w:val="0"/>
        <w:snapToGrid w:val="0"/>
        <w:spacing w:line="520" w:lineRule="exact"/>
        <w:jc w:val="center"/>
        <w:outlineLvl w:val="0"/>
        <w:rPr>
          <w:rFonts w:hint="eastAsia" w:ascii="宋体" w:hAnsi="宋体"/>
          <w:b/>
          <w:snapToGrid w:val="0"/>
          <w:color w:val="auto"/>
          <w:spacing w:val="12"/>
          <w:kern w:val="0"/>
          <w:sz w:val="28"/>
          <w:highlight w:val="none"/>
        </w:rPr>
      </w:pPr>
      <w:r>
        <w:rPr>
          <w:rFonts w:hint="eastAsia" w:ascii="宋体" w:hAnsi="宋体"/>
          <w:b/>
          <w:snapToGrid w:val="0"/>
          <w:color w:val="auto"/>
          <w:spacing w:val="12"/>
          <w:kern w:val="0"/>
          <w:sz w:val="28"/>
          <w:highlight w:val="none"/>
        </w:rPr>
        <w:br w:type="page"/>
      </w:r>
      <w:bookmarkStart w:id="29" w:name="_Toc25800"/>
      <w:r>
        <w:rPr>
          <w:rFonts w:hint="eastAsia" w:ascii="宋体" w:hAnsi="宋体"/>
          <w:b/>
          <w:snapToGrid w:val="0"/>
          <w:color w:val="auto"/>
          <w:spacing w:val="12"/>
          <w:kern w:val="0"/>
          <w:sz w:val="28"/>
          <w:highlight w:val="none"/>
        </w:rPr>
        <w:t>第八部分 答疑、补遗文件(如有待发)</w:t>
      </w:r>
      <w:bookmarkEnd w:id="29"/>
    </w:p>
    <w:p>
      <w:pPr>
        <w:adjustRightInd w:val="0"/>
        <w:snapToGrid w:val="0"/>
        <w:spacing w:line="520" w:lineRule="exact"/>
        <w:jc w:val="both"/>
        <w:outlineLvl w:val="0"/>
        <w:rPr>
          <w:rFonts w:hint="eastAsia" w:ascii="宋体" w:hAnsi="宋体"/>
          <w:b/>
          <w:snapToGrid w:val="0"/>
          <w:color w:val="auto"/>
          <w:spacing w:val="12"/>
          <w:kern w:val="0"/>
          <w:sz w:val="28"/>
          <w:highlight w:val="none"/>
        </w:rPr>
      </w:pPr>
    </w:p>
    <w:sectPr>
      <w:footerReference r:id="rId4" w:type="default"/>
      <w:pgSz w:w="11906" w:h="16838"/>
      <w:pgMar w:top="1418" w:right="1304" w:bottom="1134" w:left="1134" w:header="851" w:footer="851"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Style w:val="36"/>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r>
                            <w:fldChar w:fldCharType="begin"/>
                          </w:r>
                          <w:r>
                            <w:rPr>
                              <w:rStyle w:val="36"/>
                            </w:rPr>
                            <w:instrText xml:space="preserve">PAGE  </w:instrText>
                          </w:r>
                          <w:r>
                            <w:fldChar w:fldCharType="separate"/>
                          </w:r>
                          <w:r>
                            <w:rPr>
                              <w:rStyle w:val="36"/>
                            </w:rPr>
                            <w:t>- 40 -</w:t>
                          </w:r>
                          <w:r>
                            <w:fldChar w:fldCharType="end"/>
                          </w:r>
                          <w:r>
                            <w:rPr>
                              <w:rStyle w:val="36"/>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2"/>
                      <w:jc w:val="center"/>
                    </w:pPr>
                    <w:r>
                      <w:fldChar w:fldCharType="begin"/>
                    </w:r>
                    <w:r>
                      <w:rPr>
                        <w:rStyle w:val="36"/>
                      </w:rPr>
                      <w:instrText xml:space="preserve">PAGE  </w:instrText>
                    </w:r>
                    <w:r>
                      <w:fldChar w:fldCharType="separate"/>
                    </w:r>
                    <w:r>
                      <w:rPr>
                        <w:rStyle w:val="36"/>
                      </w:rPr>
                      <w:t>- 40 -</w:t>
                    </w:r>
                    <w:r>
                      <w:fldChar w:fldCharType="end"/>
                    </w:r>
                    <w:r>
                      <w:rPr>
                        <w:rStyle w:val="36"/>
                        <w:rFonts w:hint="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EC219"/>
    <w:multiLevelType w:val="singleLevel"/>
    <w:tmpl w:val="9B9EC219"/>
    <w:lvl w:ilvl="0" w:tentative="0">
      <w:start w:val="1"/>
      <w:numFmt w:val="chineseCounting"/>
      <w:suff w:val="nothing"/>
      <w:lvlText w:val="%1、"/>
      <w:lvlJc w:val="left"/>
      <w:rPr>
        <w:rFonts w:hint="eastAsia"/>
      </w:rPr>
    </w:lvl>
  </w:abstractNum>
  <w:abstractNum w:abstractNumId="1">
    <w:nsid w:val="9DF9A5B5"/>
    <w:multiLevelType w:val="singleLevel"/>
    <w:tmpl w:val="9DF9A5B5"/>
    <w:lvl w:ilvl="0" w:tentative="0">
      <w:start w:val="1"/>
      <w:numFmt w:val="decimal"/>
      <w:suff w:val="nothing"/>
      <w:lvlText w:val="%1、"/>
      <w:lvlJc w:val="left"/>
    </w:lvl>
  </w:abstractNum>
  <w:abstractNum w:abstractNumId="2">
    <w:nsid w:val="060D9F27"/>
    <w:multiLevelType w:val="singleLevel"/>
    <w:tmpl w:val="060D9F27"/>
    <w:lvl w:ilvl="0" w:tentative="0">
      <w:start w:val="1"/>
      <w:numFmt w:val="decimal"/>
      <w:suff w:val="nothing"/>
      <w:lvlText w:val="（%1）"/>
      <w:lvlJc w:val="left"/>
    </w:lvl>
  </w:abstractNum>
  <w:abstractNum w:abstractNumId="3">
    <w:nsid w:val="1243C112"/>
    <w:multiLevelType w:val="singleLevel"/>
    <w:tmpl w:val="1243C112"/>
    <w:lvl w:ilvl="0" w:tentative="0">
      <w:start w:val="1"/>
      <w:numFmt w:val="chineseCounting"/>
      <w:suff w:val="nothing"/>
      <w:lvlText w:val="%1、"/>
      <w:lvlJc w:val="left"/>
      <w:rPr>
        <w:rFonts w:hint="eastAsia"/>
      </w:rPr>
    </w:lvl>
  </w:abstractNum>
  <w:abstractNum w:abstractNumId="4">
    <w:nsid w:val="15341764"/>
    <w:multiLevelType w:val="multilevel"/>
    <w:tmpl w:val="15341764"/>
    <w:lvl w:ilvl="0" w:tentative="0">
      <w:start w:val="1"/>
      <w:numFmt w:val="chineseCountingThousand"/>
      <w:suff w:val="nothing"/>
      <w:lvlText w:val="第%1章  "/>
      <w:lvlJc w:val="left"/>
      <w:pPr>
        <w:ind w:left="284" w:hanging="284"/>
      </w:pPr>
      <w:rPr>
        <w:rFonts w:hint="default" w:ascii="Verdana" w:hAnsi="Verdana" w:eastAsia="宋体"/>
        <w:b w:val="0"/>
        <w:i w:val="0"/>
        <w:sz w:val="44"/>
      </w:rPr>
    </w:lvl>
    <w:lvl w:ilvl="1" w:tentative="0">
      <w:start w:val="1"/>
      <w:numFmt w:val="chineseCountingThousand"/>
      <w:lvlText w:val="第%2节 "/>
      <w:lvlJc w:val="left"/>
      <w:pPr>
        <w:tabs>
          <w:tab w:val="left" w:pos="425"/>
        </w:tabs>
        <w:ind w:left="992" w:hanging="992"/>
      </w:pPr>
      <w:rPr>
        <w:rFonts w:hint="default" w:ascii="Tahoma" w:hAnsi="Tahoma" w:eastAsia="宋体"/>
        <w:b/>
        <w:i w:val="0"/>
        <w:sz w:val="32"/>
      </w:rPr>
    </w:lvl>
    <w:lvl w:ilvl="2" w:tentative="0">
      <w:start w:val="1"/>
      <w:numFmt w:val="chineseCountingThousand"/>
      <w:suff w:val="space"/>
      <w:lvlText w:val="第%3节 "/>
      <w:lvlJc w:val="left"/>
      <w:pPr>
        <w:ind w:left="1021" w:hanging="1021"/>
      </w:pPr>
      <w:rPr>
        <w:rFonts w:hint="default" w:ascii="Verdana" w:hAnsi="Verdana" w:eastAsia="宋体"/>
        <w:b w:val="0"/>
        <w:i w:val="0"/>
        <w:sz w:val="32"/>
      </w:rPr>
    </w:lvl>
    <w:lvl w:ilvl="3" w:tentative="0">
      <w:start w:val="1"/>
      <w:numFmt w:val="chineseCountingThousand"/>
      <w:suff w:val="space"/>
      <w:lvlText w:val="%4"/>
      <w:lvlJc w:val="left"/>
      <w:pPr>
        <w:ind w:left="1134" w:hanging="1134"/>
      </w:pPr>
      <w:rPr>
        <w:rFonts w:hint="default" w:ascii="Verdana" w:hAnsi="Verdana" w:eastAsia="宋体"/>
        <w:b/>
        <w:i w:val="0"/>
        <w:sz w:val="32"/>
        <w:szCs w:val="32"/>
      </w:rPr>
    </w:lvl>
    <w:lvl w:ilvl="4" w:tentative="0">
      <w:start w:val="1"/>
      <w:numFmt w:val="decimal"/>
      <w:pStyle w:val="8"/>
      <w:suff w:val="space"/>
      <w:lvlText w:val="%5."/>
      <w:lvlJc w:val="left"/>
      <w:pPr>
        <w:ind w:left="1814" w:hanging="1814"/>
      </w:pPr>
      <w:rPr>
        <w:rFonts w:hint="default" w:ascii="Verdana" w:hAnsi="Verdana"/>
        <w:b/>
        <w:i w:val="0"/>
        <w:sz w:val="24"/>
        <w:szCs w:val="24"/>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2552"/>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5">
    <w:nsid w:val="240C52E6"/>
    <w:multiLevelType w:val="singleLevel"/>
    <w:tmpl w:val="240C52E6"/>
    <w:lvl w:ilvl="0" w:tentative="0">
      <w:start w:val="1"/>
      <w:numFmt w:val="decimal"/>
      <w:suff w:val="nothing"/>
      <w:lvlText w:val="%1、"/>
      <w:lvlJc w:val="left"/>
    </w:lvl>
  </w:abstractNum>
  <w:abstractNum w:abstractNumId="6">
    <w:nsid w:val="33934AA0"/>
    <w:multiLevelType w:val="multilevel"/>
    <w:tmpl w:val="33934AA0"/>
    <w:lvl w:ilvl="0" w:tentative="0">
      <w:start w:val="1"/>
      <w:numFmt w:val="decimal"/>
      <w:lvlText w:val="（%1）"/>
      <w:lvlJc w:val="left"/>
      <w:pPr>
        <w:tabs>
          <w:tab w:val="left" w:pos="1080"/>
        </w:tabs>
        <w:ind w:left="1080" w:hanging="72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3FE74871"/>
    <w:multiLevelType w:val="multilevel"/>
    <w:tmpl w:val="3FE74871"/>
    <w:lvl w:ilvl="0" w:tentative="0">
      <w:start w:val="1"/>
      <w:numFmt w:val="decimal"/>
      <w:lvlText w:val="（%1）"/>
      <w:lvlJc w:val="left"/>
      <w:pPr>
        <w:tabs>
          <w:tab w:val="left" w:pos="1080"/>
        </w:tabs>
        <w:ind w:left="1080" w:hanging="72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45A0F7CE"/>
    <w:multiLevelType w:val="singleLevel"/>
    <w:tmpl w:val="45A0F7CE"/>
    <w:lvl w:ilvl="0" w:tentative="0">
      <w:start w:val="1"/>
      <w:numFmt w:val="decimal"/>
      <w:suff w:val="nothing"/>
      <w:lvlText w:val="%1"/>
      <w:lvlJc w:val="left"/>
      <w:pPr>
        <w:ind w:left="0" w:leftChars="0" w:firstLine="0" w:firstLineChars="0"/>
      </w:pPr>
      <w:rPr>
        <w:rFonts w:hint="default"/>
      </w:rPr>
    </w:lvl>
  </w:abstractNum>
  <w:abstractNum w:abstractNumId="9">
    <w:nsid w:val="492006FF"/>
    <w:multiLevelType w:val="multilevel"/>
    <w:tmpl w:val="492006FF"/>
    <w:lvl w:ilvl="0" w:tentative="0">
      <w:start w:val="1"/>
      <w:numFmt w:val="japaneseCounting"/>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3944D72"/>
    <w:multiLevelType w:val="singleLevel"/>
    <w:tmpl w:val="53944D72"/>
    <w:lvl w:ilvl="0" w:tentative="0">
      <w:start w:val="3"/>
      <w:numFmt w:val="chineseCounting"/>
      <w:suff w:val="nothing"/>
      <w:lvlText w:val="%1、"/>
      <w:lvlJc w:val="left"/>
    </w:lvl>
  </w:abstractNum>
  <w:abstractNum w:abstractNumId="11">
    <w:nsid w:val="59819FA1"/>
    <w:multiLevelType w:val="singleLevel"/>
    <w:tmpl w:val="59819FA1"/>
    <w:lvl w:ilvl="0" w:tentative="0">
      <w:start w:val="1"/>
      <w:numFmt w:val="decimal"/>
      <w:suff w:val="nothing"/>
      <w:lvlText w:val="%1、"/>
      <w:lvlJc w:val="left"/>
    </w:lvl>
  </w:abstractNum>
  <w:abstractNum w:abstractNumId="12">
    <w:nsid w:val="59843656"/>
    <w:multiLevelType w:val="singleLevel"/>
    <w:tmpl w:val="59843656"/>
    <w:lvl w:ilvl="0" w:tentative="0">
      <w:start w:val="1"/>
      <w:numFmt w:val="decimal"/>
      <w:suff w:val="nothing"/>
      <w:lvlText w:val="%1、"/>
      <w:lvlJc w:val="left"/>
    </w:lvl>
  </w:abstractNum>
  <w:abstractNum w:abstractNumId="13">
    <w:nsid w:val="663ACDA1"/>
    <w:multiLevelType w:val="singleLevel"/>
    <w:tmpl w:val="663ACDA1"/>
    <w:lvl w:ilvl="0" w:tentative="0">
      <w:start w:val="1"/>
      <w:numFmt w:val="decimal"/>
      <w:suff w:val="space"/>
      <w:lvlText w:val="%1)"/>
      <w:lvlJc w:val="left"/>
    </w:lvl>
  </w:abstractNum>
  <w:num w:numId="1">
    <w:abstractNumId w:val="4"/>
  </w:num>
  <w:num w:numId="2">
    <w:abstractNumId w:val="3"/>
  </w:num>
  <w:num w:numId="3">
    <w:abstractNumId w:val="9"/>
  </w:num>
  <w:num w:numId="4">
    <w:abstractNumId w:val="5"/>
  </w:num>
  <w:num w:numId="5">
    <w:abstractNumId w:val="11"/>
  </w:num>
  <w:num w:numId="6">
    <w:abstractNumId w:val="13"/>
  </w:num>
  <w:num w:numId="7">
    <w:abstractNumId w:val="12"/>
  </w:num>
  <w:num w:numId="8">
    <w:abstractNumId w:val="6"/>
  </w:num>
  <w:num w:numId="9">
    <w:abstractNumId w:val="7"/>
  </w:num>
  <w:num w:numId="10">
    <w:abstractNumId w:val="0"/>
  </w:num>
  <w:num w:numId="11">
    <w:abstractNumId w:val="8"/>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ZDdkODEzZjRkZjZiM2EzMTUxYmUwOTMyY2I4ZjkifQ=="/>
  </w:docVars>
  <w:rsids>
    <w:rsidRoot w:val="007322A8"/>
    <w:rsid w:val="00003212"/>
    <w:rsid w:val="000063BC"/>
    <w:rsid w:val="00011870"/>
    <w:rsid w:val="000141D5"/>
    <w:rsid w:val="00016F65"/>
    <w:rsid w:val="00021600"/>
    <w:rsid w:val="00021F54"/>
    <w:rsid w:val="000244D1"/>
    <w:rsid w:val="00024588"/>
    <w:rsid w:val="00025B20"/>
    <w:rsid w:val="00026171"/>
    <w:rsid w:val="00026A4F"/>
    <w:rsid w:val="0002798B"/>
    <w:rsid w:val="000315D1"/>
    <w:rsid w:val="00031C58"/>
    <w:rsid w:val="00032868"/>
    <w:rsid w:val="00033B8F"/>
    <w:rsid w:val="00034314"/>
    <w:rsid w:val="000434DD"/>
    <w:rsid w:val="000445C1"/>
    <w:rsid w:val="00044E94"/>
    <w:rsid w:val="00045475"/>
    <w:rsid w:val="000459DF"/>
    <w:rsid w:val="00050E38"/>
    <w:rsid w:val="00053799"/>
    <w:rsid w:val="00055E1F"/>
    <w:rsid w:val="00056731"/>
    <w:rsid w:val="0005749D"/>
    <w:rsid w:val="00060B4C"/>
    <w:rsid w:val="00061D20"/>
    <w:rsid w:val="00063C48"/>
    <w:rsid w:val="00064324"/>
    <w:rsid w:val="00065ABE"/>
    <w:rsid w:val="000711C0"/>
    <w:rsid w:val="00071E0D"/>
    <w:rsid w:val="00076A15"/>
    <w:rsid w:val="000770DA"/>
    <w:rsid w:val="0008151C"/>
    <w:rsid w:val="000818A9"/>
    <w:rsid w:val="00081BC8"/>
    <w:rsid w:val="00083196"/>
    <w:rsid w:val="00085B67"/>
    <w:rsid w:val="00086D03"/>
    <w:rsid w:val="00086F92"/>
    <w:rsid w:val="000910D4"/>
    <w:rsid w:val="00094773"/>
    <w:rsid w:val="000971B8"/>
    <w:rsid w:val="000A25E3"/>
    <w:rsid w:val="000A392D"/>
    <w:rsid w:val="000A44B1"/>
    <w:rsid w:val="000B4C07"/>
    <w:rsid w:val="000B5A92"/>
    <w:rsid w:val="000B75C8"/>
    <w:rsid w:val="000C066D"/>
    <w:rsid w:val="000C0E45"/>
    <w:rsid w:val="000C141C"/>
    <w:rsid w:val="000C473B"/>
    <w:rsid w:val="000D0D6B"/>
    <w:rsid w:val="000D1B49"/>
    <w:rsid w:val="000D2ABD"/>
    <w:rsid w:val="000D3F4C"/>
    <w:rsid w:val="000D4EE2"/>
    <w:rsid w:val="000D5425"/>
    <w:rsid w:val="000D71C3"/>
    <w:rsid w:val="000E0A11"/>
    <w:rsid w:val="000E27CD"/>
    <w:rsid w:val="000E5A26"/>
    <w:rsid w:val="00100809"/>
    <w:rsid w:val="00101CB5"/>
    <w:rsid w:val="00102AF7"/>
    <w:rsid w:val="00103969"/>
    <w:rsid w:val="001045F7"/>
    <w:rsid w:val="00106E41"/>
    <w:rsid w:val="00107D3E"/>
    <w:rsid w:val="00112302"/>
    <w:rsid w:val="00113ADF"/>
    <w:rsid w:val="00117162"/>
    <w:rsid w:val="0011722B"/>
    <w:rsid w:val="00120D5B"/>
    <w:rsid w:val="00121F50"/>
    <w:rsid w:val="00123915"/>
    <w:rsid w:val="0012564E"/>
    <w:rsid w:val="00125F8F"/>
    <w:rsid w:val="00131D05"/>
    <w:rsid w:val="00134357"/>
    <w:rsid w:val="001345AD"/>
    <w:rsid w:val="001360C3"/>
    <w:rsid w:val="001373BC"/>
    <w:rsid w:val="00137537"/>
    <w:rsid w:val="00137C6D"/>
    <w:rsid w:val="00140298"/>
    <w:rsid w:val="00142DB7"/>
    <w:rsid w:val="00146C35"/>
    <w:rsid w:val="001520D9"/>
    <w:rsid w:val="00152C01"/>
    <w:rsid w:val="0015601F"/>
    <w:rsid w:val="001613A4"/>
    <w:rsid w:val="00163474"/>
    <w:rsid w:val="00164703"/>
    <w:rsid w:val="00165702"/>
    <w:rsid w:val="00171C74"/>
    <w:rsid w:val="00172B96"/>
    <w:rsid w:val="00174C83"/>
    <w:rsid w:val="00175CBB"/>
    <w:rsid w:val="001763AD"/>
    <w:rsid w:val="00176CA0"/>
    <w:rsid w:val="001802E6"/>
    <w:rsid w:val="00181FF8"/>
    <w:rsid w:val="00184C15"/>
    <w:rsid w:val="00185682"/>
    <w:rsid w:val="00192186"/>
    <w:rsid w:val="001938FA"/>
    <w:rsid w:val="00197FC4"/>
    <w:rsid w:val="001A4E6F"/>
    <w:rsid w:val="001A6738"/>
    <w:rsid w:val="001B0FFC"/>
    <w:rsid w:val="001B6537"/>
    <w:rsid w:val="001C1698"/>
    <w:rsid w:val="001C37FC"/>
    <w:rsid w:val="001D0DCD"/>
    <w:rsid w:val="001D17F4"/>
    <w:rsid w:val="001D4062"/>
    <w:rsid w:val="001D45E2"/>
    <w:rsid w:val="001D4A4F"/>
    <w:rsid w:val="001D779D"/>
    <w:rsid w:val="001E0077"/>
    <w:rsid w:val="001E5DEA"/>
    <w:rsid w:val="001F06A1"/>
    <w:rsid w:val="001F1409"/>
    <w:rsid w:val="001F25CD"/>
    <w:rsid w:val="00202AED"/>
    <w:rsid w:val="00206941"/>
    <w:rsid w:val="00207A6B"/>
    <w:rsid w:val="00220CF7"/>
    <w:rsid w:val="002215F7"/>
    <w:rsid w:val="00226116"/>
    <w:rsid w:val="002261A8"/>
    <w:rsid w:val="0022646A"/>
    <w:rsid w:val="00226769"/>
    <w:rsid w:val="0022780C"/>
    <w:rsid w:val="00227A29"/>
    <w:rsid w:val="002331D3"/>
    <w:rsid w:val="002350B7"/>
    <w:rsid w:val="002402D9"/>
    <w:rsid w:val="00243F1F"/>
    <w:rsid w:val="002453F8"/>
    <w:rsid w:val="002465C2"/>
    <w:rsid w:val="00247D90"/>
    <w:rsid w:val="00252B1D"/>
    <w:rsid w:val="00252CDC"/>
    <w:rsid w:val="00253898"/>
    <w:rsid w:val="0026021F"/>
    <w:rsid w:val="0026375E"/>
    <w:rsid w:val="002637BA"/>
    <w:rsid w:val="00264956"/>
    <w:rsid w:val="00266F67"/>
    <w:rsid w:val="002672BB"/>
    <w:rsid w:val="00272CFA"/>
    <w:rsid w:val="00273AEE"/>
    <w:rsid w:val="00273ED0"/>
    <w:rsid w:val="0028001B"/>
    <w:rsid w:val="00280C27"/>
    <w:rsid w:val="00284F25"/>
    <w:rsid w:val="00286912"/>
    <w:rsid w:val="00286AB3"/>
    <w:rsid w:val="00287D06"/>
    <w:rsid w:val="0029052E"/>
    <w:rsid w:val="00290594"/>
    <w:rsid w:val="00291564"/>
    <w:rsid w:val="00293D79"/>
    <w:rsid w:val="00295D37"/>
    <w:rsid w:val="002A0685"/>
    <w:rsid w:val="002A5DC2"/>
    <w:rsid w:val="002A6B93"/>
    <w:rsid w:val="002A74CF"/>
    <w:rsid w:val="002B0C88"/>
    <w:rsid w:val="002B2535"/>
    <w:rsid w:val="002B29A2"/>
    <w:rsid w:val="002B3D8C"/>
    <w:rsid w:val="002B5B3E"/>
    <w:rsid w:val="002B75A2"/>
    <w:rsid w:val="002B76D5"/>
    <w:rsid w:val="002B7F33"/>
    <w:rsid w:val="002C28FA"/>
    <w:rsid w:val="002C491A"/>
    <w:rsid w:val="002C6AB2"/>
    <w:rsid w:val="002C76FB"/>
    <w:rsid w:val="002D0704"/>
    <w:rsid w:val="002D190B"/>
    <w:rsid w:val="002E18EC"/>
    <w:rsid w:val="002E23EE"/>
    <w:rsid w:val="002E4D70"/>
    <w:rsid w:val="002E5706"/>
    <w:rsid w:val="002E6514"/>
    <w:rsid w:val="002E660F"/>
    <w:rsid w:val="002F142C"/>
    <w:rsid w:val="002F2D35"/>
    <w:rsid w:val="00300429"/>
    <w:rsid w:val="003012A1"/>
    <w:rsid w:val="00303819"/>
    <w:rsid w:val="00305ECE"/>
    <w:rsid w:val="00306242"/>
    <w:rsid w:val="00310D13"/>
    <w:rsid w:val="003133CC"/>
    <w:rsid w:val="00316B67"/>
    <w:rsid w:val="00316D2B"/>
    <w:rsid w:val="00320401"/>
    <w:rsid w:val="00320409"/>
    <w:rsid w:val="00320448"/>
    <w:rsid w:val="00320A87"/>
    <w:rsid w:val="00320BED"/>
    <w:rsid w:val="003230F2"/>
    <w:rsid w:val="00325815"/>
    <w:rsid w:val="003263EA"/>
    <w:rsid w:val="003275F9"/>
    <w:rsid w:val="00337D83"/>
    <w:rsid w:val="003412F7"/>
    <w:rsid w:val="0034480E"/>
    <w:rsid w:val="00346B52"/>
    <w:rsid w:val="00360A8F"/>
    <w:rsid w:val="003610B2"/>
    <w:rsid w:val="003612D9"/>
    <w:rsid w:val="003613AE"/>
    <w:rsid w:val="00361FF1"/>
    <w:rsid w:val="003631E2"/>
    <w:rsid w:val="00364082"/>
    <w:rsid w:val="00365950"/>
    <w:rsid w:val="0036649F"/>
    <w:rsid w:val="0036751B"/>
    <w:rsid w:val="00371260"/>
    <w:rsid w:val="003718C9"/>
    <w:rsid w:val="00374319"/>
    <w:rsid w:val="00376735"/>
    <w:rsid w:val="0038137C"/>
    <w:rsid w:val="00383AC1"/>
    <w:rsid w:val="00383B8D"/>
    <w:rsid w:val="00383D78"/>
    <w:rsid w:val="00391477"/>
    <w:rsid w:val="003931C2"/>
    <w:rsid w:val="003965E2"/>
    <w:rsid w:val="003971C1"/>
    <w:rsid w:val="00397D5E"/>
    <w:rsid w:val="00397E5F"/>
    <w:rsid w:val="003A079C"/>
    <w:rsid w:val="003A35B4"/>
    <w:rsid w:val="003A43DF"/>
    <w:rsid w:val="003A6B29"/>
    <w:rsid w:val="003A779D"/>
    <w:rsid w:val="003B0061"/>
    <w:rsid w:val="003B5112"/>
    <w:rsid w:val="003B6144"/>
    <w:rsid w:val="003C2FC8"/>
    <w:rsid w:val="003C4877"/>
    <w:rsid w:val="003C67CE"/>
    <w:rsid w:val="003C703A"/>
    <w:rsid w:val="003D00F9"/>
    <w:rsid w:val="003D0F65"/>
    <w:rsid w:val="003D1FDB"/>
    <w:rsid w:val="003D2563"/>
    <w:rsid w:val="003D285F"/>
    <w:rsid w:val="003D3F17"/>
    <w:rsid w:val="003D4870"/>
    <w:rsid w:val="003D6EFF"/>
    <w:rsid w:val="003E01D9"/>
    <w:rsid w:val="003E450F"/>
    <w:rsid w:val="003E4ACE"/>
    <w:rsid w:val="003E5264"/>
    <w:rsid w:val="003E59C3"/>
    <w:rsid w:val="003E6C2B"/>
    <w:rsid w:val="003F5AF0"/>
    <w:rsid w:val="00400DB9"/>
    <w:rsid w:val="0040235A"/>
    <w:rsid w:val="0040426B"/>
    <w:rsid w:val="00404FF2"/>
    <w:rsid w:val="00406BAE"/>
    <w:rsid w:val="00407A7C"/>
    <w:rsid w:val="00412869"/>
    <w:rsid w:val="004137B6"/>
    <w:rsid w:val="00416963"/>
    <w:rsid w:val="00417F38"/>
    <w:rsid w:val="004234CD"/>
    <w:rsid w:val="0042382F"/>
    <w:rsid w:val="00424B10"/>
    <w:rsid w:val="004351B0"/>
    <w:rsid w:val="004353D5"/>
    <w:rsid w:val="004407E9"/>
    <w:rsid w:val="0044130C"/>
    <w:rsid w:val="00441CC4"/>
    <w:rsid w:val="00442F26"/>
    <w:rsid w:val="00443A66"/>
    <w:rsid w:val="00443C6B"/>
    <w:rsid w:val="00443E44"/>
    <w:rsid w:val="00446C40"/>
    <w:rsid w:val="004503CA"/>
    <w:rsid w:val="0046355C"/>
    <w:rsid w:val="00464E35"/>
    <w:rsid w:val="004717F9"/>
    <w:rsid w:val="004740C1"/>
    <w:rsid w:val="00477C88"/>
    <w:rsid w:val="004822B9"/>
    <w:rsid w:val="00482FF4"/>
    <w:rsid w:val="00483044"/>
    <w:rsid w:val="004839DB"/>
    <w:rsid w:val="00490041"/>
    <w:rsid w:val="004918EE"/>
    <w:rsid w:val="0049288C"/>
    <w:rsid w:val="00493766"/>
    <w:rsid w:val="00493B42"/>
    <w:rsid w:val="0049750C"/>
    <w:rsid w:val="00497DC5"/>
    <w:rsid w:val="004A1242"/>
    <w:rsid w:val="004A1611"/>
    <w:rsid w:val="004A2502"/>
    <w:rsid w:val="004A399A"/>
    <w:rsid w:val="004A3DFC"/>
    <w:rsid w:val="004A794D"/>
    <w:rsid w:val="004B15DD"/>
    <w:rsid w:val="004C2DFE"/>
    <w:rsid w:val="004C54DD"/>
    <w:rsid w:val="004D1228"/>
    <w:rsid w:val="004D2C44"/>
    <w:rsid w:val="004D523C"/>
    <w:rsid w:val="004D7DFA"/>
    <w:rsid w:val="004E1CC9"/>
    <w:rsid w:val="004E2BB0"/>
    <w:rsid w:val="004E40C8"/>
    <w:rsid w:val="004E5667"/>
    <w:rsid w:val="004F0CA8"/>
    <w:rsid w:val="004F375A"/>
    <w:rsid w:val="004F3AFA"/>
    <w:rsid w:val="004F5D62"/>
    <w:rsid w:val="004F644B"/>
    <w:rsid w:val="004F6507"/>
    <w:rsid w:val="004F74EE"/>
    <w:rsid w:val="00501AD7"/>
    <w:rsid w:val="0050387E"/>
    <w:rsid w:val="00503C42"/>
    <w:rsid w:val="00503E89"/>
    <w:rsid w:val="00506DBA"/>
    <w:rsid w:val="005070C2"/>
    <w:rsid w:val="0051352B"/>
    <w:rsid w:val="00516A0F"/>
    <w:rsid w:val="00517B9E"/>
    <w:rsid w:val="00520E9E"/>
    <w:rsid w:val="0052346B"/>
    <w:rsid w:val="0052506F"/>
    <w:rsid w:val="0052595E"/>
    <w:rsid w:val="005264E7"/>
    <w:rsid w:val="005279C8"/>
    <w:rsid w:val="00531BE6"/>
    <w:rsid w:val="005338F5"/>
    <w:rsid w:val="00535ABA"/>
    <w:rsid w:val="00535D15"/>
    <w:rsid w:val="00537F33"/>
    <w:rsid w:val="00541E03"/>
    <w:rsid w:val="00543BE9"/>
    <w:rsid w:val="0054497C"/>
    <w:rsid w:val="0054554F"/>
    <w:rsid w:val="00546F45"/>
    <w:rsid w:val="005473EC"/>
    <w:rsid w:val="00554FE2"/>
    <w:rsid w:val="00555FA4"/>
    <w:rsid w:val="0056134D"/>
    <w:rsid w:val="005628B0"/>
    <w:rsid w:val="005721D0"/>
    <w:rsid w:val="00574091"/>
    <w:rsid w:val="00575634"/>
    <w:rsid w:val="005A057F"/>
    <w:rsid w:val="005A1582"/>
    <w:rsid w:val="005A2D09"/>
    <w:rsid w:val="005B1244"/>
    <w:rsid w:val="005B3A44"/>
    <w:rsid w:val="005B6996"/>
    <w:rsid w:val="005C050F"/>
    <w:rsid w:val="005C0A6A"/>
    <w:rsid w:val="005C4D97"/>
    <w:rsid w:val="005D0248"/>
    <w:rsid w:val="005D0972"/>
    <w:rsid w:val="005D3D61"/>
    <w:rsid w:val="005D6753"/>
    <w:rsid w:val="005E182D"/>
    <w:rsid w:val="005E42A5"/>
    <w:rsid w:val="005E7050"/>
    <w:rsid w:val="005E758D"/>
    <w:rsid w:val="005F2D69"/>
    <w:rsid w:val="005F459F"/>
    <w:rsid w:val="005F57EF"/>
    <w:rsid w:val="005F6060"/>
    <w:rsid w:val="0060025B"/>
    <w:rsid w:val="006008CD"/>
    <w:rsid w:val="00603C96"/>
    <w:rsid w:val="00603FF1"/>
    <w:rsid w:val="00604B7F"/>
    <w:rsid w:val="006052F2"/>
    <w:rsid w:val="0061093F"/>
    <w:rsid w:val="00612380"/>
    <w:rsid w:val="006175A1"/>
    <w:rsid w:val="0061784E"/>
    <w:rsid w:val="00617977"/>
    <w:rsid w:val="0062082F"/>
    <w:rsid w:val="006232C4"/>
    <w:rsid w:val="00624495"/>
    <w:rsid w:val="00631D22"/>
    <w:rsid w:val="006413FF"/>
    <w:rsid w:val="00641EE2"/>
    <w:rsid w:val="0064264A"/>
    <w:rsid w:val="00652104"/>
    <w:rsid w:val="00653D10"/>
    <w:rsid w:val="00653EF1"/>
    <w:rsid w:val="00661F7D"/>
    <w:rsid w:val="0066285D"/>
    <w:rsid w:val="00664F4C"/>
    <w:rsid w:val="006658BF"/>
    <w:rsid w:val="00667AAF"/>
    <w:rsid w:val="0067137D"/>
    <w:rsid w:val="00671D18"/>
    <w:rsid w:val="00672ACF"/>
    <w:rsid w:val="006844B1"/>
    <w:rsid w:val="00685CA1"/>
    <w:rsid w:val="00687404"/>
    <w:rsid w:val="00687B58"/>
    <w:rsid w:val="00692CF3"/>
    <w:rsid w:val="00693D7A"/>
    <w:rsid w:val="0069449C"/>
    <w:rsid w:val="006A233F"/>
    <w:rsid w:val="006B4A02"/>
    <w:rsid w:val="006B6CF1"/>
    <w:rsid w:val="006B77A7"/>
    <w:rsid w:val="006C1202"/>
    <w:rsid w:val="006C2139"/>
    <w:rsid w:val="006C3605"/>
    <w:rsid w:val="006C663C"/>
    <w:rsid w:val="006D5BEB"/>
    <w:rsid w:val="006D6402"/>
    <w:rsid w:val="006E2B0E"/>
    <w:rsid w:val="006E7BD5"/>
    <w:rsid w:val="006F2DD8"/>
    <w:rsid w:val="006F3124"/>
    <w:rsid w:val="006F3754"/>
    <w:rsid w:val="006F3CA1"/>
    <w:rsid w:val="006F60DE"/>
    <w:rsid w:val="006F7582"/>
    <w:rsid w:val="006F7F59"/>
    <w:rsid w:val="007024F1"/>
    <w:rsid w:val="007039B5"/>
    <w:rsid w:val="00704237"/>
    <w:rsid w:val="0070609B"/>
    <w:rsid w:val="00706F9C"/>
    <w:rsid w:val="00710BC4"/>
    <w:rsid w:val="00717FB7"/>
    <w:rsid w:val="00721CB2"/>
    <w:rsid w:val="00721D5D"/>
    <w:rsid w:val="007237DE"/>
    <w:rsid w:val="00724901"/>
    <w:rsid w:val="00726A48"/>
    <w:rsid w:val="00730C5F"/>
    <w:rsid w:val="007322A8"/>
    <w:rsid w:val="00732E54"/>
    <w:rsid w:val="00735281"/>
    <w:rsid w:val="00735E87"/>
    <w:rsid w:val="0073655E"/>
    <w:rsid w:val="007410F5"/>
    <w:rsid w:val="00741935"/>
    <w:rsid w:val="00744967"/>
    <w:rsid w:val="0075016B"/>
    <w:rsid w:val="00754517"/>
    <w:rsid w:val="00762BEA"/>
    <w:rsid w:val="007638D5"/>
    <w:rsid w:val="00764952"/>
    <w:rsid w:val="0077377A"/>
    <w:rsid w:val="0077418A"/>
    <w:rsid w:val="007751F3"/>
    <w:rsid w:val="00780524"/>
    <w:rsid w:val="00795031"/>
    <w:rsid w:val="007A275F"/>
    <w:rsid w:val="007A3C50"/>
    <w:rsid w:val="007A5D6B"/>
    <w:rsid w:val="007B0BD5"/>
    <w:rsid w:val="007B0C0B"/>
    <w:rsid w:val="007B14C0"/>
    <w:rsid w:val="007B471A"/>
    <w:rsid w:val="007B5B51"/>
    <w:rsid w:val="007C0016"/>
    <w:rsid w:val="007C69F9"/>
    <w:rsid w:val="007C7B20"/>
    <w:rsid w:val="007D2746"/>
    <w:rsid w:val="007D29E5"/>
    <w:rsid w:val="007D55B5"/>
    <w:rsid w:val="007E01E0"/>
    <w:rsid w:val="007E053E"/>
    <w:rsid w:val="007E480B"/>
    <w:rsid w:val="007E698F"/>
    <w:rsid w:val="007E7877"/>
    <w:rsid w:val="00800B40"/>
    <w:rsid w:val="0080354F"/>
    <w:rsid w:val="008043F7"/>
    <w:rsid w:val="00804EDA"/>
    <w:rsid w:val="008060B1"/>
    <w:rsid w:val="008075F5"/>
    <w:rsid w:val="00810F23"/>
    <w:rsid w:val="00811262"/>
    <w:rsid w:val="00814848"/>
    <w:rsid w:val="008168A5"/>
    <w:rsid w:val="00817FBE"/>
    <w:rsid w:val="00820178"/>
    <w:rsid w:val="00822B8A"/>
    <w:rsid w:val="008231B6"/>
    <w:rsid w:val="00825E71"/>
    <w:rsid w:val="00832C24"/>
    <w:rsid w:val="00832C33"/>
    <w:rsid w:val="00834549"/>
    <w:rsid w:val="00834F38"/>
    <w:rsid w:val="00836E53"/>
    <w:rsid w:val="0083721B"/>
    <w:rsid w:val="0084070C"/>
    <w:rsid w:val="00841189"/>
    <w:rsid w:val="008416E0"/>
    <w:rsid w:val="0084489F"/>
    <w:rsid w:val="008451A4"/>
    <w:rsid w:val="0084521B"/>
    <w:rsid w:val="00846E46"/>
    <w:rsid w:val="008475EA"/>
    <w:rsid w:val="008550CC"/>
    <w:rsid w:val="00856E21"/>
    <w:rsid w:val="0085784F"/>
    <w:rsid w:val="00867823"/>
    <w:rsid w:val="00873632"/>
    <w:rsid w:val="00873D00"/>
    <w:rsid w:val="00876E59"/>
    <w:rsid w:val="00882AFE"/>
    <w:rsid w:val="0088399A"/>
    <w:rsid w:val="0089006B"/>
    <w:rsid w:val="00891957"/>
    <w:rsid w:val="00891E93"/>
    <w:rsid w:val="00893343"/>
    <w:rsid w:val="008939C0"/>
    <w:rsid w:val="008A002B"/>
    <w:rsid w:val="008A10E2"/>
    <w:rsid w:val="008A598A"/>
    <w:rsid w:val="008A61A8"/>
    <w:rsid w:val="008B1095"/>
    <w:rsid w:val="008B42A3"/>
    <w:rsid w:val="008B4C4E"/>
    <w:rsid w:val="008B607A"/>
    <w:rsid w:val="008B7C39"/>
    <w:rsid w:val="008C0D05"/>
    <w:rsid w:val="008C3C1E"/>
    <w:rsid w:val="008D0026"/>
    <w:rsid w:val="008D002C"/>
    <w:rsid w:val="008D4F7C"/>
    <w:rsid w:val="008D60A1"/>
    <w:rsid w:val="008F3394"/>
    <w:rsid w:val="008F65AF"/>
    <w:rsid w:val="00901352"/>
    <w:rsid w:val="00901DF7"/>
    <w:rsid w:val="00902849"/>
    <w:rsid w:val="00903320"/>
    <w:rsid w:val="009059A3"/>
    <w:rsid w:val="00906F5F"/>
    <w:rsid w:val="00907685"/>
    <w:rsid w:val="00910537"/>
    <w:rsid w:val="00911215"/>
    <w:rsid w:val="0091248C"/>
    <w:rsid w:val="009125F9"/>
    <w:rsid w:val="00912AE1"/>
    <w:rsid w:val="00913A90"/>
    <w:rsid w:val="0091742E"/>
    <w:rsid w:val="00920268"/>
    <w:rsid w:val="009205AB"/>
    <w:rsid w:val="009258C7"/>
    <w:rsid w:val="0092694C"/>
    <w:rsid w:val="00931B71"/>
    <w:rsid w:val="00933FEB"/>
    <w:rsid w:val="00944E84"/>
    <w:rsid w:val="0094718E"/>
    <w:rsid w:val="0095092D"/>
    <w:rsid w:val="00952518"/>
    <w:rsid w:val="00967060"/>
    <w:rsid w:val="00967F4E"/>
    <w:rsid w:val="00971151"/>
    <w:rsid w:val="00972859"/>
    <w:rsid w:val="0097307D"/>
    <w:rsid w:val="009734B0"/>
    <w:rsid w:val="0097492E"/>
    <w:rsid w:val="00977655"/>
    <w:rsid w:val="0098221D"/>
    <w:rsid w:val="009844F4"/>
    <w:rsid w:val="00987A77"/>
    <w:rsid w:val="0099069F"/>
    <w:rsid w:val="00991EFA"/>
    <w:rsid w:val="0099402C"/>
    <w:rsid w:val="009954D2"/>
    <w:rsid w:val="009A1C96"/>
    <w:rsid w:val="009A2690"/>
    <w:rsid w:val="009A6B07"/>
    <w:rsid w:val="009A751A"/>
    <w:rsid w:val="009A79F6"/>
    <w:rsid w:val="009B3892"/>
    <w:rsid w:val="009B6321"/>
    <w:rsid w:val="009B67AE"/>
    <w:rsid w:val="009C134F"/>
    <w:rsid w:val="009C6EE2"/>
    <w:rsid w:val="009D2F35"/>
    <w:rsid w:val="009D5A05"/>
    <w:rsid w:val="009E1A8A"/>
    <w:rsid w:val="009E3DC0"/>
    <w:rsid w:val="009E5D55"/>
    <w:rsid w:val="009F2311"/>
    <w:rsid w:val="009F3C2B"/>
    <w:rsid w:val="009F4EC1"/>
    <w:rsid w:val="00A03FB5"/>
    <w:rsid w:val="00A046A9"/>
    <w:rsid w:val="00A124D3"/>
    <w:rsid w:val="00A12632"/>
    <w:rsid w:val="00A15DCC"/>
    <w:rsid w:val="00A21069"/>
    <w:rsid w:val="00A211CF"/>
    <w:rsid w:val="00A2471A"/>
    <w:rsid w:val="00A24A52"/>
    <w:rsid w:val="00A31717"/>
    <w:rsid w:val="00A32231"/>
    <w:rsid w:val="00A33984"/>
    <w:rsid w:val="00A411FD"/>
    <w:rsid w:val="00A419D1"/>
    <w:rsid w:val="00A44522"/>
    <w:rsid w:val="00A506C1"/>
    <w:rsid w:val="00A51EE5"/>
    <w:rsid w:val="00A524E7"/>
    <w:rsid w:val="00A57EFD"/>
    <w:rsid w:val="00A60342"/>
    <w:rsid w:val="00A6083E"/>
    <w:rsid w:val="00A60E88"/>
    <w:rsid w:val="00A61FE9"/>
    <w:rsid w:val="00A6291E"/>
    <w:rsid w:val="00A62CE2"/>
    <w:rsid w:val="00A638BB"/>
    <w:rsid w:val="00A66BD3"/>
    <w:rsid w:val="00A67D51"/>
    <w:rsid w:val="00A709FE"/>
    <w:rsid w:val="00A71EE4"/>
    <w:rsid w:val="00A7362F"/>
    <w:rsid w:val="00A73643"/>
    <w:rsid w:val="00A75E0C"/>
    <w:rsid w:val="00A76CF5"/>
    <w:rsid w:val="00A77A6B"/>
    <w:rsid w:val="00A8093B"/>
    <w:rsid w:val="00A8782C"/>
    <w:rsid w:val="00A9153A"/>
    <w:rsid w:val="00A93217"/>
    <w:rsid w:val="00A9527E"/>
    <w:rsid w:val="00A954F7"/>
    <w:rsid w:val="00A964DE"/>
    <w:rsid w:val="00AA0801"/>
    <w:rsid w:val="00AA3224"/>
    <w:rsid w:val="00AA3E12"/>
    <w:rsid w:val="00AA4DB9"/>
    <w:rsid w:val="00AA6DC9"/>
    <w:rsid w:val="00AA70C0"/>
    <w:rsid w:val="00AB613A"/>
    <w:rsid w:val="00AC107B"/>
    <w:rsid w:val="00AC1BC5"/>
    <w:rsid w:val="00AC2CE0"/>
    <w:rsid w:val="00AC54BE"/>
    <w:rsid w:val="00AC5937"/>
    <w:rsid w:val="00AC774C"/>
    <w:rsid w:val="00AC7F11"/>
    <w:rsid w:val="00AD4487"/>
    <w:rsid w:val="00AD7558"/>
    <w:rsid w:val="00AE12BC"/>
    <w:rsid w:val="00AE2280"/>
    <w:rsid w:val="00AE29DB"/>
    <w:rsid w:val="00AF4490"/>
    <w:rsid w:val="00AF58F4"/>
    <w:rsid w:val="00AF773C"/>
    <w:rsid w:val="00B12290"/>
    <w:rsid w:val="00B16ABF"/>
    <w:rsid w:val="00B17A92"/>
    <w:rsid w:val="00B20744"/>
    <w:rsid w:val="00B23C2B"/>
    <w:rsid w:val="00B24FDE"/>
    <w:rsid w:val="00B40719"/>
    <w:rsid w:val="00B473E4"/>
    <w:rsid w:val="00B475FF"/>
    <w:rsid w:val="00B522B5"/>
    <w:rsid w:val="00B54B06"/>
    <w:rsid w:val="00B604A0"/>
    <w:rsid w:val="00B61208"/>
    <w:rsid w:val="00B61B6B"/>
    <w:rsid w:val="00B65E99"/>
    <w:rsid w:val="00B6703B"/>
    <w:rsid w:val="00B75E46"/>
    <w:rsid w:val="00B7756B"/>
    <w:rsid w:val="00B82483"/>
    <w:rsid w:val="00B83654"/>
    <w:rsid w:val="00B91433"/>
    <w:rsid w:val="00B951F7"/>
    <w:rsid w:val="00BA0AAB"/>
    <w:rsid w:val="00BA0FA5"/>
    <w:rsid w:val="00BA1EB7"/>
    <w:rsid w:val="00BA322A"/>
    <w:rsid w:val="00BB0E16"/>
    <w:rsid w:val="00BB1844"/>
    <w:rsid w:val="00BB3670"/>
    <w:rsid w:val="00BC1BEB"/>
    <w:rsid w:val="00BC2AE7"/>
    <w:rsid w:val="00BC3648"/>
    <w:rsid w:val="00BC3BA2"/>
    <w:rsid w:val="00BD12D5"/>
    <w:rsid w:val="00BD2B7C"/>
    <w:rsid w:val="00BD318C"/>
    <w:rsid w:val="00BD31DF"/>
    <w:rsid w:val="00BD437F"/>
    <w:rsid w:val="00BD5833"/>
    <w:rsid w:val="00BD70EB"/>
    <w:rsid w:val="00BE3B69"/>
    <w:rsid w:val="00BE60A0"/>
    <w:rsid w:val="00BE6262"/>
    <w:rsid w:val="00BE65A0"/>
    <w:rsid w:val="00BE78F9"/>
    <w:rsid w:val="00BF0AEA"/>
    <w:rsid w:val="00BF1F1A"/>
    <w:rsid w:val="00BF330F"/>
    <w:rsid w:val="00BF3C54"/>
    <w:rsid w:val="00BF463C"/>
    <w:rsid w:val="00C06E0F"/>
    <w:rsid w:val="00C129B9"/>
    <w:rsid w:val="00C15DAE"/>
    <w:rsid w:val="00C163FC"/>
    <w:rsid w:val="00C17A4F"/>
    <w:rsid w:val="00C23DD8"/>
    <w:rsid w:val="00C2713B"/>
    <w:rsid w:val="00C27A28"/>
    <w:rsid w:val="00C30B7C"/>
    <w:rsid w:val="00C330DE"/>
    <w:rsid w:val="00C35181"/>
    <w:rsid w:val="00C371AB"/>
    <w:rsid w:val="00C40598"/>
    <w:rsid w:val="00C414A3"/>
    <w:rsid w:val="00C4175D"/>
    <w:rsid w:val="00C469BB"/>
    <w:rsid w:val="00C46CAD"/>
    <w:rsid w:val="00C5111E"/>
    <w:rsid w:val="00C54F22"/>
    <w:rsid w:val="00C56718"/>
    <w:rsid w:val="00C5787D"/>
    <w:rsid w:val="00C57DBB"/>
    <w:rsid w:val="00C612B4"/>
    <w:rsid w:val="00C612EF"/>
    <w:rsid w:val="00C62DA4"/>
    <w:rsid w:val="00C659DC"/>
    <w:rsid w:val="00C675CF"/>
    <w:rsid w:val="00C716ED"/>
    <w:rsid w:val="00C72C30"/>
    <w:rsid w:val="00C8313E"/>
    <w:rsid w:val="00C8613B"/>
    <w:rsid w:val="00C86304"/>
    <w:rsid w:val="00C87C41"/>
    <w:rsid w:val="00C87E20"/>
    <w:rsid w:val="00C942A8"/>
    <w:rsid w:val="00C94F7E"/>
    <w:rsid w:val="00C95590"/>
    <w:rsid w:val="00C97467"/>
    <w:rsid w:val="00CA252A"/>
    <w:rsid w:val="00CA3BB1"/>
    <w:rsid w:val="00CA463D"/>
    <w:rsid w:val="00CA554B"/>
    <w:rsid w:val="00CB0A54"/>
    <w:rsid w:val="00CB0B8A"/>
    <w:rsid w:val="00CB3468"/>
    <w:rsid w:val="00CB35E1"/>
    <w:rsid w:val="00CB5317"/>
    <w:rsid w:val="00CC1B84"/>
    <w:rsid w:val="00CC2E91"/>
    <w:rsid w:val="00CC3FF7"/>
    <w:rsid w:val="00CC66EB"/>
    <w:rsid w:val="00CC7062"/>
    <w:rsid w:val="00CD0E70"/>
    <w:rsid w:val="00CD16D0"/>
    <w:rsid w:val="00CD1B8D"/>
    <w:rsid w:val="00CD3BD1"/>
    <w:rsid w:val="00CD5FCC"/>
    <w:rsid w:val="00CD6524"/>
    <w:rsid w:val="00CD7190"/>
    <w:rsid w:val="00CE0883"/>
    <w:rsid w:val="00CE0F7A"/>
    <w:rsid w:val="00CE1B14"/>
    <w:rsid w:val="00CE2E79"/>
    <w:rsid w:val="00CE5EDB"/>
    <w:rsid w:val="00CE7D39"/>
    <w:rsid w:val="00CF24A4"/>
    <w:rsid w:val="00CF2D00"/>
    <w:rsid w:val="00CF33C3"/>
    <w:rsid w:val="00CF484D"/>
    <w:rsid w:val="00D00109"/>
    <w:rsid w:val="00D00156"/>
    <w:rsid w:val="00D008C4"/>
    <w:rsid w:val="00D04763"/>
    <w:rsid w:val="00D07636"/>
    <w:rsid w:val="00D129E4"/>
    <w:rsid w:val="00D14414"/>
    <w:rsid w:val="00D154FF"/>
    <w:rsid w:val="00D2561A"/>
    <w:rsid w:val="00D26718"/>
    <w:rsid w:val="00D2708A"/>
    <w:rsid w:val="00D27506"/>
    <w:rsid w:val="00D27D46"/>
    <w:rsid w:val="00D30F1C"/>
    <w:rsid w:val="00D31B39"/>
    <w:rsid w:val="00D367EF"/>
    <w:rsid w:val="00D40ED1"/>
    <w:rsid w:val="00D40FCE"/>
    <w:rsid w:val="00D41A5E"/>
    <w:rsid w:val="00D4238C"/>
    <w:rsid w:val="00D42451"/>
    <w:rsid w:val="00D44A36"/>
    <w:rsid w:val="00D461C4"/>
    <w:rsid w:val="00D47417"/>
    <w:rsid w:val="00D479B1"/>
    <w:rsid w:val="00D52DB6"/>
    <w:rsid w:val="00D53BE5"/>
    <w:rsid w:val="00D6024C"/>
    <w:rsid w:val="00D60ABB"/>
    <w:rsid w:val="00D61147"/>
    <w:rsid w:val="00D636D2"/>
    <w:rsid w:val="00D64B14"/>
    <w:rsid w:val="00D71DA9"/>
    <w:rsid w:val="00D778B6"/>
    <w:rsid w:val="00D83248"/>
    <w:rsid w:val="00D84706"/>
    <w:rsid w:val="00D85293"/>
    <w:rsid w:val="00D85BA7"/>
    <w:rsid w:val="00D864BF"/>
    <w:rsid w:val="00D865F7"/>
    <w:rsid w:val="00D8697F"/>
    <w:rsid w:val="00D86E9B"/>
    <w:rsid w:val="00D87E84"/>
    <w:rsid w:val="00D91A94"/>
    <w:rsid w:val="00D966A0"/>
    <w:rsid w:val="00DA02C8"/>
    <w:rsid w:val="00DA5839"/>
    <w:rsid w:val="00DA59E7"/>
    <w:rsid w:val="00DA5B04"/>
    <w:rsid w:val="00DA6973"/>
    <w:rsid w:val="00DA7041"/>
    <w:rsid w:val="00DB0717"/>
    <w:rsid w:val="00DB2AFD"/>
    <w:rsid w:val="00DB6866"/>
    <w:rsid w:val="00DB690B"/>
    <w:rsid w:val="00DB7609"/>
    <w:rsid w:val="00DC0B4B"/>
    <w:rsid w:val="00DC1862"/>
    <w:rsid w:val="00DC1D50"/>
    <w:rsid w:val="00DC36BA"/>
    <w:rsid w:val="00DC4994"/>
    <w:rsid w:val="00DD0B67"/>
    <w:rsid w:val="00DD392B"/>
    <w:rsid w:val="00DE0448"/>
    <w:rsid w:val="00DE088D"/>
    <w:rsid w:val="00DE0D66"/>
    <w:rsid w:val="00DE3244"/>
    <w:rsid w:val="00DE3E64"/>
    <w:rsid w:val="00DF0803"/>
    <w:rsid w:val="00DF151C"/>
    <w:rsid w:val="00DF46E1"/>
    <w:rsid w:val="00DF5032"/>
    <w:rsid w:val="00DF6FE2"/>
    <w:rsid w:val="00E04964"/>
    <w:rsid w:val="00E071DC"/>
    <w:rsid w:val="00E0754D"/>
    <w:rsid w:val="00E07E89"/>
    <w:rsid w:val="00E100FB"/>
    <w:rsid w:val="00E10E5D"/>
    <w:rsid w:val="00E1148D"/>
    <w:rsid w:val="00E14D18"/>
    <w:rsid w:val="00E15066"/>
    <w:rsid w:val="00E20904"/>
    <w:rsid w:val="00E21C93"/>
    <w:rsid w:val="00E26A6D"/>
    <w:rsid w:val="00E32AA1"/>
    <w:rsid w:val="00E33E61"/>
    <w:rsid w:val="00E3449F"/>
    <w:rsid w:val="00E403A1"/>
    <w:rsid w:val="00E409D7"/>
    <w:rsid w:val="00E41564"/>
    <w:rsid w:val="00E45181"/>
    <w:rsid w:val="00E46DBA"/>
    <w:rsid w:val="00E506C4"/>
    <w:rsid w:val="00E50A60"/>
    <w:rsid w:val="00E53AB6"/>
    <w:rsid w:val="00E53F84"/>
    <w:rsid w:val="00E55F39"/>
    <w:rsid w:val="00E606D8"/>
    <w:rsid w:val="00E64DEA"/>
    <w:rsid w:val="00E65339"/>
    <w:rsid w:val="00E727E2"/>
    <w:rsid w:val="00E73DDE"/>
    <w:rsid w:val="00E8179E"/>
    <w:rsid w:val="00E82DDC"/>
    <w:rsid w:val="00E82F50"/>
    <w:rsid w:val="00E85DE0"/>
    <w:rsid w:val="00E923AA"/>
    <w:rsid w:val="00E943A1"/>
    <w:rsid w:val="00E95379"/>
    <w:rsid w:val="00E97ED0"/>
    <w:rsid w:val="00EA2701"/>
    <w:rsid w:val="00EA45B9"/>
    <w:rsid w:val="00EA7772"/>
    <w:rsid w:val="00EB0483"/>
    <w:rsid w:val="00EB3B89"/>
    <w:rsid w:val="00EB6A7A"/>
    <w:rsid w:val="00EC1B5B"/>
    <w:rsid w:val="00EC1E04"/>
    <w:rsid w:val="00EC279F"/>
    <w:rsid w:val="00EC540F"/>
    <w:rsid w:val="00EC7657"/>
    <w:rsid w:val="00ED0C41"/>
    <w:rsid w:val="00ED14F5"/>
    <w:rsid w:val="00ED219D"/>
    <w:rsid w:val="00ED2C6C"/>
    <w:rsid w:val="00ED44D7"/>
    <w:rsid w:val="00ED7A91"/>
    <w:rsid w:val="00EE157A"/>
    <w:rsid w:val="00EE1F8C"/>
    <w:rsid w:val="00EE54E2"/>
    <w:rsid w:val="00EE60F6"/>
    <w:rsid w:val="00EF0557"/>
    <w:rsid w:val="00EF0889"/>
    <w:rsid w:val="00EF366F"/>
    <w:rsid w:val="00EF3C7D"/>
    <w:rsid w:val="00EF63D1"/>
    <w:rsid w:val="00EF68A3"/>
    <w:rsid w:val="00EF7968"/>
    <w:rsid w:val="00F02105"/>
    <w:rsid w:val="00F03C7F"/>
    <w:rsid w:val="00F041CC"/>
    <w:rsid w:val="00F07648"/>
    <w:rsid w:val="00F11EF7"/>
    <w:rsid w:val="00F12447"/>
    <w:rsid w:val="00F141A6"/>
    <w:rsid w:val="00F1646C"/>
    <w:rsid w:val="00F16926"/>
    <w:rsid w:val="00F20447"/>
    <w:rsid w:val="00F2110D"/>
    <w:rsid w:val="00F21475"/>
    <w:rsid w:val="00F2429E"/>
    <w:rsid w:val="00F244F5"/>
    <w:rsid w:val="00F26C28"/>
    <w:rsid w:val="00F26ED6"/>
    <w:rsid w:val="00F352CE"/>
    <w:rsid w:val="00F36097"/>
    <w:rsid w:val="00F365DC"/>
    <w:rsid w:val="00F366C1"/>
    <w:rsid w:val="00F400F0"/>
    <w:rsid w:val="00F415D7"/>
    <w:rsid w:val="00F434DE"/>
    <w:rsid w:val="00F507C8"/>
    <w:rsid w:val="00F53B40"/>
    <w:rsid w:val="00F53FCE"/>
    <w:rsid w:val="00F54EFA"/>
    <w:rsid w:val="00F57818"/>
    <w:rsid w:val="00F604AB"/>
    <w:rsid w:val="00F615B0"/>
    <w:rsid w:val="00F65172"/>
    <w:rsid w:val="00F6522B"/>
    <w:rsid w:val="00F664DB"/>
    <w:rsid w:val="00F67B97"/>
    <w:rsid w:val="00F67F04"/>
    <w:rsid w:val="00F70F23"/>
    <w:rsid w:val="00F71752"/>
    <w:rsid w:val="00F72111"/>
    <w:rsid w:val="00F745E9"/>
    <w:rsid w:val="00F77C12"/>
    <w:rsid w:val="00F803CE"/>
    <w:rsid w:val="00F82579"/>
    <w:rsid w:val="00F84FDA"/>
    <w:rsid w:val="00F87228"/>
    <w:rsid w:val="00F92BCB"/>
    <w:rsid w:val="00FA0628"/>
    <w:rsid w:val="00FA0695"/>
    <w:rsid w:val="00FA06A5"/>
    <w:rsid w:val="00FA1305"/>
    <w:rsid w:val="00FA5AEC"/>
    <w:rsid w:val="00FA5BBA"/>
    <w:rsid w:val="00FA6CC6"/>
    <w:rsid w:val="00FA6E0D"/>
    <w:rsid w:val="00FB318B"/>
    <w:rsid w:val="00FB5A9C"/>
    <w:rsid w:val="00FB5EF5"/>
    <w:rsid w:val="00FB79B9"/>
    <w:rsid w:val="00FC34D5"/>
    <w:rsid w:val="00FC3727"/>
    <w:rsid w:val="00FC46EF"/>
    <w:rsid w:val="00FE2A7A"/>
    <w:rsid w:val="00FE2F83"/>
    <w:rsid w:val="00FE331F"/>
    <w:rsid w:val="00FF058E"/>
    <w:rsid w:val="00FF16D5"/>
    <w:rsid w:val="00FF3F1E"/>
    <w:rsid w:val="00FF4B48"/>
    <w:rsid w:val="00FF6E9F"/>
    <w:rsid w:val="012A3D88"/>
    <w:rsid w:val="02033E3B"/>
    <w:rsid w:val="02102AB3"/>
    <w:rsid w:val="024C28BC"/>
    <w:rsid w:val="0286416F"/>
    <w:rsid w:val="02C511AA"/>
    <w:rsid w:val="02E938D6"/>
    <w:rsid w:val="02ED5ED6"/>
    <w:rsid w:val="034B3297"/>
    <w:rsid w:val="035A26DE"/>
    <w:rsid w:val="03770937"/>
    <w:rsid w:val="03991DF6"/>
    <w:rsid w:val="039D7C7B"/>
    <w:rsid w:val="04113BC1"/>
    <w:rsid w:val="0467736C"/>
    <w:rsid w:val="0470123D"/>
    <w:rsid w:val="047B4FCA"/>
    <w:rsid w:val="04BC2C11"/>
    <w:rsid w:val="04F87CB8"/>
    <w:rsid w:val="050126B4"/>
    <w:rsid w:val="055001EF"/>
    <w:rsid w:val="0550735D"/>
    <w:rsid w:val="05793C8D"/>
    <w:rsid w:val="059F4B62"/>
    <w:rsid w:val="05D8704E"/>
    <w:rsid w:val="06114561"/>
    <w:rsid w:val="06583CC4"/>
    <w:rsid w:val="06FA6124"/>
    <w:rsid w:val="07183414"/>
    <w:rsid w:val="0762307E"/>
    <w:rsid w:val="078A2A58"/>
    <w:rsid w:val="07C0278D"/>
    <w:rsid w:val="07C45B44"/>
    <w:rsid w:val="082A6222"/>
    <w:rsid w:val="084E7A00"/>
    <w:rsid w:val="0876550D"/>
    <w:rsid w:val="08777A86"/>
    <w:rsid w:val="087E5321"/>
    <w:rsid w:val="08835114"/>
    <w:rsid w:val="088A06D6"/>
    <w:rsid w:val="088A2980"/>
    <w:rsid w:val="08C05D5A"/>
    <w:rsid w:val="0930364F"/>
    <w:rsid w:val="09331C8A"/>
    <w:rsid w:val="093742D8"/>
    <w:rsid w:val="093D1475"/>
    <w:rsid w:val="099D351D"/>
    <w:rsid w:val="09C149B3"/>
    <w:rsid w:val="09E85089"/>
    <w:rsid w:val="09F9200E"/>
    <w:rsid w:val="0A387870"/>
    <w:rsid w:val="0AA03A6A"/>
    <w:rsid w:val="0AC534D0"/>
    <w:rsid w:val="0B2428ED"/>
    <w:rsid w:val="0B464512"/>
    <w:rsid w:val="0B5E1E33"/>
    <w:rsid w:val="0B860EB1"/>
    <w:rsid w:val="0C6B5AC0"/>
    <w:rsid w:val="0C936028"/>
    <w:rsid w:val="0CA669D6"/>
    <w:rsid w:val="0CA96CA7"/>
    <w:rsid w:val="0CC40296"/>
    <w:rsid w:val="0CF56CB7"/>
    <w:rsid w:val="0D1A424F"/>
    <w:rsid w:val="0D2D414D"/>
    <w:rsid w:val="0D3A4EF0"/>
    <w:rsid w:val="0D425B15"/>
    <w:rsid w:val="0D9F5201"/>
    <w:rsid w:val="0DAE28E8"/>
    <w:rsid w:val="0DDF6A96"/>
    <w:rsid w:val="0E5A6D7F"/>
    <w:rsid w:val="0E77720E"/>
    <w:rsid w:val="0E8F168C"/>
    <w:rsid w:val="0ED9704B"/>
    <w:rsid w:val="0EDE62FB"/>
    <w:rsid w:val="0EE44AC3"/>
    <w:rsid w:val="0F1870F7"/>
    <w:rsid w:val="0F981234"/>
    <w:rsid w:val="0FD631D5"/>
    <w:rsid w:val="0FDB58D9"/>
    <w:rsid w:val="0FDC49A5"/>
    <w:rsid w:val="104816F9"/>
    <w:rsid w:val="109B0D70"/>
    <w:rsid w:val="10BF29A0"/>
    <w:rsid w:val="10E8616A"/>
    <w:rsid w:val="114567CD"/>
    <w:rsid w:val="114B6A81"/>
    <w:rsid w:val="11726630"/>
    <w:rsid w:val="119F13A6"/>
    <w:rsid w:val="11BF718E"/>
    <w:rsid w:val="11FD2985"/>
    <w:rsid w:val="132847C0"/>
    <w:rsid w:val="136407B8"/>
    <w:rsid w:val="13761209"/>
    <w:rsid w:val="137C244E"/>
    <w:rsid w:val="13875094"/>
    <w:rsid w:val="143F0C15"/>
    <w:rsid w:val="14837D84"/>
    <w:rsid w:val="14C761CF"/>
    <w:rsid w:val="15192C88"/>
    <w:rsid w:val="15D25460"/>
    <w:rsid w:val="160457F4"/>
    <w:rsid w:val="1608645A"/>
    <w:rsid w:val="16283CBC"/>
    <w:rsid w:val="16340FBB"/>
    <w:rsid w:val="16A76CDE"/>
    <w:rsid w:val="16AD58D5"/>
    <w:rsid w:val="16B15F77"/>
    <w:rsid w:val="172831CA"/>
    <w:rsid w:val="173C6553"/>
    <w:rsid w:val="176B6BDC"/>
    <w:rsid w:val="17A9207D"/>
    <w:rsid w:val="17CF68DE"/>
    <w:rsid w:val="183D7B33"/>
    <w:rsid w:val="18780B54"/>
    <w:rsid w:val="18A103ED"/>
    <w:rsid w:val="18C415D2"/>
    <w:rsid w:val="18ED4213"/>
    <w:rsid w:val="18F5513C"/>
    <w:rsid w:val="18FD6F35"/>
    <w:rsid w:val="190651C0"/>
    <w:rsid w:val="193E2DCB"/>
    <w:rsid w:val="196A2CD2"/>
    <w:rsid w:val="19723D68"/>
    <w:rsid w:val="19A370EA"/>
    <w:rsid w:val="19CD1D13"/>
    <w:rsid w:val="19FD1C2B"/>
    <w:rsid w:val="1A3F7C7E"/>
    <w:rsid w:val="1A6618C5"/>
    <w:rsid w:val="1A694A3A"/>
    <w:rsid w:val="1A6E6865"/>
    <w:rsid w:val="1A726C82"/>
    <w:rsid w:val="1A7E3C7B"/>
    <w:rsid w:val="1A8217BA"/>
    <w:rsid w:val="1AA43159"/>
    <w:rsid w:val="1B001388"/>
    <w:rsid w:val="1B435D64"/>
    <w:rsid w:val="1B6D6004"/>
    <w:rsid w:val="1B884DC0"/>
    <w:rsid w:val="1BF23678"/>
    <w:rsid w:val="1CAD1E96"/>
    <w:rsid w:val="1D37329D"/>
    <w:rsid w:val="1D7F7AAD"/>
    <w:rsid w:val="1D8943B6"/>
    <w:rsid w:val="1D8F73BB"/>
    <w:rsid w:val="1DB75755"/>
    <w:rsid w:val="1DD1119B"/>
    <w:rsid w:val="1E4F3A7E"/>
    <w:rsid w:val="1E5D1F46"/>
    <w:rsid w:val="1E9072EC"/>
    <w:rsid w:val="1EAF0CE8"/>
    <w:rsid w:val="1EB95265"/>
    <w:rsid w:val="1ECC4AD3"/>
    <w:rsid w:val="1F55574B"/>
    <w:rsid w:val="1F5D6EDE"/>
    <w:rsid w:val="1F886CEB"/>
    <w:rsid w:val="1F8A53B6"/>
    <w:rsid w:val="1F933772"/>
    <w:rsid w:val="1FB3372F"/>
    <w:rsid w:val="201512CA"/>
    <w:rsid w:val="201D5A15"/>
    <w:rsid w:val="204003B9"/>
    <w:rsid w:val="2086606C"/>
    <w:rsid w:val="2111700B"/>
    <w:rsid w:val="21385C46"/>
    <w:rsid w:val="21816033"/>
    <w:rsid w:val="2199430B"/>
    <w:rsid w:val="21CD5922"/>
    <w:rsid w:val="21E71443"/>
    <w:rsid w:val="220300C0"/>
    <w:rsid w:val="224029EE"/>
    <w:rsid w:val="2242087C"/>
    <w:rsid w:val="22A4494B"/>
    <w:rsid w:val="22BD2037"/>
    <w:rsid w:val="22DE6E37"/>
    <w:rsid w:val="23725C84"/>
    <w:rsid w:val="23A014CB"/>
    <w:rsid w:val="23C834F6"/>
    <w:rsid w:val="23D77B25"/>
    <w:rsid w:val="245B0F5A"/>
    <w:rsid w:val="24901094"/>
    <w:rsid w:val="24D6339F"/>
    <w:rsid w:val="251470D6"/>
    <w:rsid w:val="253F328A"/>
    <w:rsid w:val="26221AFE"/>
    <w:rsid w:val="262544CB"/>
    <w:rsid w:val="26D80239"/>
    <w:rsid w:val="27041E25"/>
    <w:rsid w:val="273133CC"/>
    <w:rsid w:val="27817507"/>
    <w:rsid w:val="28047504"/>
    <w:rsid w:val="280F28DC"/>
    <w:rsid w:val="284F0946"/>
    <w:rsid w:val="28681815"/>
    <w:rsid w:val="28741CA9"/>
    <w:rsid w:val="29277468"/>
    <w:rsid w:val="292D3073"/>
    <w:rsid w:val="292E2075"/>
    <w:rsid w:val="29434565"/>
    <w:rsid w:val="29562351"/>
    <w:rsid w:val="29C41CF7"/>
    <w:rsid w:val="2AAB228B"/>
    <w:rsid w:val="2ACB757F"/>
    <w:rsid w:val="2ADA47F1"/>
    <w:rsid w:val="2AF6455D"/>
    <w:rsid w:val="2B047657"/>
    <w:rsid w:val="2B347D36"/>
    <w:rsid w:val="2B6B00E6"/>
    <w:rsid w:val="2B6E4FFC"/>
    <w:rsid w:val="2BB072F4"/>
    <w:rsid w:val="2BF6564A"/>
    <w:rsid w:val="2C315E49"/>
    <w:rsid w:val="2C9573B3"/>
    <w:rsid w:val="2C990EAB"/>
    <w:rsid w:val="2C9D3859"/>
    <w:rsid w:val="2CF33C40"/>
    <w:rsid w:val="2D072BD7"/>
    <w:rsid w:val="2D095047"/>
    <w:rsid w:val="2D12691D"/>
    <w:rsid w:val="2D810639"/>
    <w:rsid w:val="2DCB2240"/>
    <w:rsid w:val="2DCB5670"/>
    <w:rsid w:val="2DD0676F"/>
    <w:rsid w:val="2DD10241"/>
    <w:rsid w:val="2DF50C39"/>
    <w:rsid w:val="2E234C17"/>
    <w:rsid w:val="2E8A7C02"/>
    <w:rsid w:val="2E9F0CC4"/>
    <w:rsid w:val="2ED07C3E"/>
    <w:rsid w:val="2F232F9B"/>
    <w:rsid w:val="2F351B56"/>
    <w:rsid w:val="2F8C2C01"/>
    <w:rsid w:val="2FD22BA4"/>
    <w:rsid w:val="2FF77EBD"/>
    <w:rsid w:val="300122C0"/>
    <w:rsid w:val="302446F0"/>
    <w:rsid w:val="309E0C63"/>
    <w:rsid w:val="30AC069B"/>
    <w:rsid w:val="30AD4922"/>
    <w:rsid w:val="30EC1849"/>
    <w:rsid w:val="310F74CF"/>
    <w:rsid w:val="3132114F"/>
    <w:rsid w:val="3134707E"/>
    <w:rsid w:val="315134E3"/>
    <w:rsid w:val="3177520D"/>
    <w:rsid w:val="319B2790"/>
    <w:rsid w:val="319E2DEC"/>
    <w:rsid w:val="31B5247D"/>
    <w:rsid w:val="31C21CDE"/>
    <w:rsid w:val="325D4DBE"/>
    <w:rsid w:val="32622256"/>
    <w:rsid w:val="326B17A1"/>
    <w:rsid w:val="3275299A"/>
    <w:rsid w:val="32777BA9"/>
    <w:rsid w:val="32861AF7"/>
    <w:rsid w:val="32894F40"/>
    <w:rsid w:val="32D74940"/>
    <w:rsid w:val="32FE7693"/>
    <w:rsid w:val="33733EB7"/>
    <w:rsid w:val="33886821"/>
    <w:rsid w:val="33946650"/>
    <w:rsid w:val="33A53417"/>
    <w:rsid w:val="33B345A0"/>
    <w:rsid w:val="33C17455"/>
    <w:rsid w:val="33C65698"/>
    <w:rsid w:val="33C915E9"/>
    <w:rsid w:val="341F743C"/>
    <w:rsid w:val="34297DE2"/>
    <w:rsid w:val="3443548A"/>
    <w:rsid w:val="344E4A91"/>
    <w:rsid w:val="34562415"/>
    <w:rsid w:val="345D77DC"/>
    <w:rsid w:val="346E1F59"/>
    <w:rsid w:val="34B14FF0"/>
    <w:rsid w:val="34FB796B"/>
    <w:rsid w:val="35092088"/>
    <w:rsid w:val="351669AB"/>
    <w:rsid w:val="351C000D"/>
    <w:rsid w:val="353D3858"/>
    <w:rsid w:val="356F2E81"/>
    <w:rsid w:val="35A93C02"/>
    <w:rsid w:val="35C96D37"/>
    <w:rsid w:val="35CB35D8"/>
    <w:rsid w:val="35EB6F91"/>
    <w:rsid w:val="35ED15FD"/>
    <w:rsid w:val="363F75CF"/>
    <w:rsid w:val="36582363"/>
    <w:rsid w:val="36A206F3"/>
    <w:rsid w:val="36AB6C83"/>
    <w:rsid w:val="36D9755F"/>
    <w:rsid w:val="36F3449D"/>
    <w:rsid w:val="37411FAD"/>
    <w:rsid w:val="379C088E"/>
    <w:rsid w:val="37AB5B71"/>
    <w:rsid w:val="37B55559"/>
    <w:rsid w:val="37BC479C"/>
    <w:rsid w:val="37FA4632"/>
    <w:rsid w:val="37FD61D5"/>
    <w:rsid w:val="37FF3971"/>
    <w:rsid w:val="382E3B8B"/>
    <w:rsid w:val="38507E04"/>
    <w:rsid w:val="38631DDC"/>
    <w:rsid w:val="38800DD1"/>
    <w:rsid w:val="38BF523C"/>
    <w:rsid w:val="38C315B7"/>
    <w:rsid w:val="39702573"/>
    <w:rsid w:val="397566CD"/>
    <w:rsid w:val="397A5878"/>
    <w:rsid w:val="398A09D1"/>
    <w:rsid w:val="39DD71C8"/>
    <w:rsid w:val="3A1046CA"/>
    <w:rsid w:val="3A112B73"/>
    <w:rsid w:val="3AB81BD8"/>
    <w:rsid w:val="3AEC0224"/>
    <w:rsid w:val="3B063787"/>
    <w:rsid w:val="3B0C6DF4"/>
    <w:rsid w:val="3B16698F"/>
    <w:rsid w:val="3B3B6B62"/>
    <w:rsid w:val="3B5E6424"/>
    <w:rsid w:val="3B9E687F"/>
    <w:rsid w:val="3BB04094"/>
    <w:rsid w:val="3C1C1564"/>
    <w:rsid w:val="3C3A5BB5"/>
    <w:rsid w:val="3D0A1F5D"/>
    <w:rsid w:val="3D38340C"/>
    <w:rsid w:val="3D94259C"/>
    <w:rsid w:val="3DA114B3"/>
    <w:rsid w:val="3DAE5484"/>
    <w:rsid w:val="3DE6642C"/>
    <w:rsid w:val="3E07510C"/>
    <w:rsid w:val="3E206EEB"/>
    <w:rsid w:val="3E2A0E60"/>
    <w:rsid w:val="3E4850A1"/>
    <w:rsid w:val="3E4D5D55"/>
    <w:rsid w:val="3E905ECE"/>
    <w:rsid w:val="3E953348"/>
    <w:rsid w:val="3EC71082"/>
    <w:rsid w:val="3FA17E88"/>
    <w:rsid w:val="3FB805AA"/>
    <w:rsid w:val="3FD96707"/>
    <w:rsid w:val="402B5F93"/>
    <w:rsid w:val="40362EF8"/>
    <w:rsid w:val="404E7852"/>
    <w:rsid w:val="405F3AF0"/>
    <w:rsid w:val="40C41C5C"/>
    <w:rsid w:val="41042404"/>
    <w:rsid w:val="411E0B98"/>
    <w:rsid w:val="412C29DC"/>
    <w:rsid w:val="418F3688"/>
    <w:rsid w:val="4199429A"/>
    <w:rsid w:val="41EA1493"/>
    <w:rsid w:val="42182E84"/>
    <w:rsid w:val="421C112C"/>
    <w:rsid w:val="422330CA"/>
    <w:rsid w:val="4224592A"/>
    <w:rsid w:val="42660E13"/>
    <w:rsid w:val="42C44780"/>
    <w:rsid w:val="42F735AE"/>
    <w:rsid w:val="42FE1746"/>
    <w:rsid w:val="43181CFD"/>
    <w:rsid w:val="432C7D74"/>
    <w:rsid w:val="434C198D"/>
    <w:rsid w:val="43767DDA"/>
    <w:rsid w:val="43EB5AB1"/>
    <w:rsid w:val="442A00BA"/>
    <w:rsid w:val="442C6239"/>
    <w:rsid w:val="44452017"/>
    <w:rsid w:val="44970662"/>
    <w:rsid w:val="44A705E6"/>
    <w:rsid w:val="44BC2C73"/>
    <w:rsid w:val="45194F33"/>
    <w:rsid w:val="45394A3E"/>
    <w:rsid w:val="455246F3"/>
    <w:rsid w:val="455C32FA"/>
    <w:rsid w:val="45BD3146"/>
    <w:rsid w:val="45C16727"/>
    <w:rsid w:val="45C742A7"/>
    <w:rsid w:val="45E32C7B"/>
    <w:rsid w:val="460A2B5F"/>
    <w:rsid w:val="46267DDB"/>
    <w:rsid w:val="46314B86"/>
    <w:rsid w:val="46452AC7"/>
    <w:rsid w:val="466C2704"/>
    <w:rsid w:val="46CF0B23"/>
    <w:rsid w:val="46EE4094"/>
    <w:rsid w:val="47151A2A"/>
    <w:rsid w:val="47486A40"/>
    <w:rsid w:val="476A534F"/>
    <w:rsid w:val="4792415F"/>
    <w:rsid w:val="47CB4315"/>
    <w:rsid w:val="485929A1"/>
    <w:rsid w:val="48692FCA"/>
    <w:rsid w:val="487B4794"/>
    <w:rsid w:val="48B235C1"/>
    <w:rsid w:val="48E4582E"/>
    <w:rsid w:val="48E63A57"/>
    <w:rsid w:val="48E854E7"/>
    <w:rsid w:val="490D15AA"/>
    <w:rsid w:val="498C0D3A"/>
    <w:rsid w:val="499A05BC"/>
    <w:rsid w:val="49EC2969"/>
    <w:rsid w:val="4A0F706B"/>
    <w:rsid w:val="4A2924C4"/>
    <w:rsid w:val="4A60083F"/>
    <w:rsid w:val="4A8F6201"/>
    <w:rsid w:val="4A9E5DD1"/>
    <w:rsid w:val="4AB53191"/>
    <w:rsid w:val="4ADC0F7D"/>
    <w:rsid w:val="4B221754"/>
    <w:rsid w:val="4B222C54"/>
    <w:rsid w:val="4BAB3A8B"/>
    <w:rsid w:val="4BD618E1"/>
    <w:rsid w:val="4BF33198"/>
    <w:rsid w:val="4C667171"/>
    <w:rsid w:val="4C9D5F59"/>
    <w:rsid w:val="4D2F6D57"/>
    <w:rsid w:val="4D3242D7"/>
    <w:rsid w:val="4D5905CD"/>
    <w:rsid w:val="4D65048F"/>
    <w:rsid w:val="4D7E6FD7"/>
    <w:rsid w:val="4D9403AA"/>
    <w:rsid w:val="4D9738B3"/>
    <w:rsid w:val="4DB5085F"/>
    <w:rsid w:val="4DEF3E1F"/>
    <w:rsid w:val="4E4E2097"/>
    <w:rsid w:val="4E50765D"/>
    <w:rsid w:val="4F203B0E"/>
    <w:rsid w:val="4F291089"/>
    <w:rsid w:val="4F344B2F"/>
    <w:rsid w:val="4F583136"/>
    <w:rsid w:val="4F687908"/>
    <w:rsid w:val="4FAA1642"/>
    <w:rsid w:val="4FDB2576"/>
    <w:rsid w:val="4FF57980"/>
    <w:rsid w:val="4FF73105"/>
    <w:rsid w:val="5034461A"/>
    <w:rsid w:val="50346623"/>
    <w:rsid w:val="50371844"/>
    <w:rsid w:val="505E2709"/>
    <w:rsid w:val="509F4CCD"/>
    <w:rsid w:val="50F873BB"/>
    <w:rsid w:val="513C14FF"/>
    <w:rsid w:val="513D1AD7"/>
    <w:rsid w:val="515A243B"/>
    <w:rsid w:val="516E12CE"/>
    <w:rsid w:val="51F876BB"/>
    <w:rsid w:val="52302A61"/>
    <w:rsid w:val="52350D5C"/>
    <w:rsid w:val="525628CE"/>
    <w:rsid w:val="52C9368A"/>
    <w:rsid w:val="52D03F3A"/>
    <w:rsid w:val="52EC6E19"/>
    <w:rsid w:val="52F63D27"/>
    <w:rsid w:val="536962F2"/>
    <w:rsid w:val="53CF49EF"/>
    <w:rsid w:val="53F93820"/>
    <w:rsid w:val="542962D3"/>
    <w:rsid w:val="54543C20"/>
    <w:rsid w:val="54D55B62"/>
    <w:rsid w:val="55186BD1"/>
    <w:rsid w:val="55342A52"/>
    <w:rsid w:val="55765CFD"/>
    <w:rsid w:val="559A3BA1"/>
    <w:rsid w:val="55B955F7"/>
    <w:rsid w:val="55EB1D26"/>
    <w:rsid w:val="56037F50"/>
    <w:rsid w:val="560B51EF"/>
    <w:rsid w:val="563E3AFC"/>
    <w:rsid w:val="5652659F"/>
    <w:rsid w:val="568768B4"/>
    <w:rsid w:val="56A570FA"/>
    <w:rsid w:val="56B766B5"/>
    <w:rsid w:val="56E5453A"/>
    <w:rsid w:val="56EB0C1C"/>
    <w:rsid w:val="57017A4C"/>
    <w:rsid w:val="570F4EF0"/>
    <w:rsid w:val="5724421A"/>
    <w:rsid w:val="57F21A5D"/>
    <w:rsid w:val="586D5ADB"/>
    <w:rsid w:val="586E16A9"/>
    <w:rsid w:val="590F46E7"/>
    <w:rsid w:val="59382160"/>
    <w:rsid w:val="59637709"/>
    <w:rsid w:val="59BF7FD5"/>
    <w:rsid w:val="59CD5141"/>
    <w:rsid w:val="5A0B2535"/>
    <w:rsid w:val="5A345008"/>
    <w:rsid w:val="5AD93D8E"/>
    <w:rsid w:val="5AEE7BDD"/>
    <w:rsid w:val="5AFE51CE"/>
    <w:rsid w:val="5B5F7464"/>
    <w:rsid w:val="5B685A84"/>
    <w:rsid w:val="5B7C06C1"/>
    <w:rsid w:val="5B8D7CE3"/>
    <w:rsid w:val="5BC072D2"/>
    <w:rsid w:val="5BC52E5F"/>
    <w:rsid w:val="5BD2152D"/>
    <w:rsid w:val="5BDF3DC8"/>
    <w:rsid w:val="5BFA3C14"/>
    <w:rsid w:val="5C0A57DE"/>
    <w:rsid w:val="5C0E5847"/>
    <w:rsid w:val="5C204A11"/>
    <w:rsid w:val="5C587467"/>
    <w:rsid w:val="5C6E4477"/>
    <w:rsid w:val="5CBF249A"/>
    <w:rsid w:val="5CD62F55"/>
    <w:rsid w:val="5CDD7926"/>
    <w:rsid w:val="5D0B40AD"/>
    <w:rsid w:val="5D117987"/>
    <w:rsid w:val="5D1C6A09"/>
    <w:rsid w:val="5D4766FB"/>
    <w:rsid w:val="5D4A64BC"/>
    <w:rsid w:val="5D4F7F13"/>
    <w:rsid w:val="5D7A227F"/>
    <w:rsid w:val="5DE34292"/>
    <w:rsid w:val="5E0B3413"/>
    <w:rsid w:val="5E0F1699"/>
    <w:rsid w:val="5E20024D"/>
    <w:rsid w:val="5E372E87"/>
    <w:rsid w:val="5E4B03B8"/>
    <w:rsid w:val="5E535B79"/>
    <w:rsid w:val="5E561CA8"/>
    <w:rsid w:val="5E767EC5"/>
    <w:rsid w:val="5E7C7ACE"/>
    <w:rsid w:val="5E8030F2"/>
    <w:rsid w:val="5EF73E89"/>
    <w:rsid w:val="5F1F28EE"/>
    <w:rsid w:val="5F2B7AD9"/>
    <w:rsid w:val="5F6C2021"/>
    <w:rsid w:val="5F750D15"/>
    <w:rsid w:val="5F7C5965"/>
    <w:rsid w:val="60002D5F"/>
    <w:rsid w:val="606C1652"/>
    <w:rsid w:val="606C436F"/>
    <w:rsid w:val="607A60B4"/>
    <w:rsid w:val="60A8293C"/>
    <w:rsid w:val="615032EB"/>
    <w:rsid w:val="61565EB2"/>
    <w:rsid w:val="61573B5C"/>
    <w:rsid w:val="616E341E"/>
    <w:rsid w:val="61A72A05"/>
    <w:rsid w:val="61EE3A1F"/>
    <w:rsid w:val="62745581"/>
    <w:rsid w:val="6282553F"/>
    <w:rsid w:val="628B76B3"/>
    <w:rsid w:val="629D1D51"/>
    <w:rsid w:val="62BC2E76"/>
    <w:rsid w:val="62F53609"/>
    <w:rsid w:val="63260E73"/>
    <w:rsid w:val="63CA7E12"/>
    <w:rsid w:val="640F0238"/>
    <w:rsid w:val="641A4D8D"/>
    <w:rsid w:val="643F21D9"/>
    <w:rsid w:val="645450BF"/>
    <w:rsid w:val="646F5029"/>
    <w:rsid w:val="64BC1463"/>
    <w:rsid w:val="64D31EB5"/>
    <w:rsid w:val="64D3269B"/>
    <w:rsid w:val="64E24FCA"/>
    <w:rsid w:val="650D1DA1"/>
    <w:rsid w:val="65300CB2"/>
    <w:rsid w:val="65386C6F"/>
    <w:rsid w:val="65546C44"/>
    <w:rsid w:val="66052A65"/>
    <w:rsid w:val="664065B9"/>
    <w:rsid w:val="66765BD8"/>
    <w:rsid w:val="66D43077"/>
    <w:rsid w:val="674A1029"/>
    <w:rsid w:val="67640B71"/>
    <w:rsid w:val="67790819"/>
    <w:rsid w:val="679E3AD5"/>
    <w:rsid w:val="67C13860"/>
    <w:rsid w:val="67D5487C"/>
    <w:rsid w:val="67D70C00"/>
    <w:rsid w:val="67E02A20"/>
    <w:rsid w:val="67E708B7"/>
    <w:rsid w:val="68143D96"/>
    <w:rsid w:val="68372137"/>
    <w:rsid w:val="684B1A5B"/>
    <w:rsid w:val="688C7F39"/>
    <w:rsid w:val="68A248B2"/>
    <w:rsid w:val="690A5888"/>
    <w:rsid w:val="696E2C1D"/>
    <w:rsid w:val="69790B77"/>
    <w:rsid w:val="69933330"/>
    <w:rsid w:val="699E3438"/>
    <w:rsid w:val="6A106588"/>
    <w:rsid w:val="6A1E1702"/>
    <w:rsid w:val="6A2151A2"/>
    <w:rsid w:val="6A2E399E"/>
    <w:rsid w:val="6A2F6789"/>
    <w:rsid w:val="6A807DCE"/>
    <w:rsid w:val="6AC607AF"/>
    <w:rsid w:val="6ADF3D7D"/>
    <w:rsid w:val="6B13274A"/>
    <w:rsid w:val="6B651D64"/>
    <w:rsid w:val="6B662E7D"/>
    <w:rsid w:val="6BB95490"/>
    <w:rsid w:val="6BE84858"/>
    <w:rsid w:val="6BF87D42"/>
    <w:rsid w:val="6C451AB1"/>
    <w:rsid w:val="6C4C128C"/>
    <w:rsid w:val="6C5A2F13"/>
    <w:rsid w:val="6C8B16BD"/>
    <w:rsid w:val="6CAB3146"/>
    <w:rsid w:val="6CD136D1"/>
    <w:rsid w:val="6CEE4E22"/>
    <w:rsid w:val="6CF87B5F"/>
    <w:rsid w:val="6D251F4C"/>
    <w:rsid w:val="6DC27953"/>
    <w:rsid w:val="6DCC5112"/>
    <w:rsid w:val="6DD36D95"/>
    <w:rsid w:val="6E2B5126"/>
    <w:rsid w:val="6E431802"/>
    <w:rsid w:val="6E6D4827"/>
    <w:rsid w:val="6E9F6788"/>
    <w:rsid w:val="6EC03A59"/>
    <w:rsid w:val="6EC44D89"/>
    <w:rsid w:val="6EC810C4"/>
    <w:rsid w:val="6EE90E43"/>
    <w:rsid w:val="6EFF099E"/>
    <w:rsid w:val="6F1F55CD"/>
    <w:rsid w:val="6F684E25"/>
    <w:rsid w:val="6F7C0F81"/>
    <w:rsid w:val="6FA203FB"/>
    <w:rsid w:val="6FB9301F"/>
    <w:rsid w:val="6FCF416C"/>
    <w:rsid w:val="6FF57E98"/>
    <w:rsid w:val="700E1A65"/>
    <w:rsid w:val="704B40CF"/>
    <w:rsid w:val="70E71C39"/>
    <w:rsid w:val="712355AF"/>
    <w:rsid w:val="71853866"/>
    <w:rsid w:val="7197520C"/>
    <w:rsid w:val="719B3607"/>
    <w:rsid w:val="71A15659"/>
    <w:rsid w:val="71A41AB5"/>
    <w:rsid w:val="71AC08E2"/>
    <w:rsid w:val="72140BB1"/>
    <w:rsid w:val="723F6D2F"/>
    <w:rsid w:val="72AF3995"/>
    <w:rsid w:val="72D43F46"/>
    <w:rsid w:val="730C3DDF"/>
    <w:rsid w:val="733851C1"/>
    <w:rsid w:val="735908CD"/>
    <w:rsid w:val="7389102F"/>
    <w:rsid w:val="738B3A66"/>
    <w:rsid w:val="7395576B"/>
    <w:rsid w:val="73D25796"/>
    <w:rsid w:val="740155F8"/>
    <w:rsid w:val="7414754F"/>
    <w:rsid w:val="743843E8"/>
    <w:rsid w:val="743F4CAF"/>
    <w:rsid w:val="744D59BE"/>
    <w:rsid w:val="746A15E5"/>
    <w:rsid w:val="74843B9C"/>
    <w:rsid w:val="749607FD"/>
    <w:rsid w:val="74DD1F82"/>
    <w:rsid w:val="75010E9E"/>
    <w:rsid w:val="75445DD0"/>
    <w:rsid w:val="756A7F01"/>
    <w:rsid w:val="75783808"/>
    <w:rsid w:val="75AE53F3"/>
    <w:rsid w:val="75B74C0D"/>
    <w:rsid w:val="75E654AB"/>
    <w:rsid w:val="76030B30"/>
    <w:rsid w:val="760C557C"/>
    <w:rsid w:val="762669F7"/>
    <w:rsid w:val="76290CB2"/>
    <w:rsid w:val="763B0924"/>
    <w:rsid w:val="76496F0C"/>
    <w:rsid w:val="766F51F6"/>
    <w:rsid w:val="768A7D48"/>
    <w:rsid w:val="76AA6F1F"/>
    <w:rsid w:val="76C4219F"/>
    <w:rsid w:val="76E222EA"/>
    <w:rsid w:val="76EC3EDB"/>
    <w:rsid w:val="76F24C85"/>
    <w:rsid w:val="77213AC0"/>
    <w:rsid w:val="77781637"/>
    <w:rsid w:val="780710F5"/>
    <w:rsid w:val="781013FC"/>
    <w:rsid w:val="781700AD"/>
    <w:rsid w:val="782D35DA"/>
    <w:rsid w:val="78617131"/>
    <w:rsid w:val="78767415"/>
    <w:rsid w:val="78CD48B7"/>
    <w:rsid w:val="79103B2A"/>
    <w:rsid w:val="79205570"/>
    <w:rsid w:val="79390A33"/>
    <w:rsid w:val="795C31FE"/>
    <w:rsid w:val="79764ECA"/>
    <w:rsid w:val="79792461"/>
    <w:rsid w:val="79BC66AA"/>
    <w:rsid w:val="79C831EA"/>
    <w:rsid w:val="79CF4077"/>
    <w:rsid w:val="79D10472"/>
    <w:rsid w:val="7A0678A9"/>
    <w:rsid w:val="7A0E3A82"/>
    <w:rsid w:val="7A2130EC"/>
    <w:rsid w:val="7A9A1ACC"/>
    <w:rsid w:val="7A9C3961"/>
    <w:rsid w:val="7AB944C6"/>
    <w:rsid w:val="7B407D0D"/>
    <w:rsid w:val="7BAA6790"/>
    <w:rsid w:val="7BF07B3F"/>
    <w:rsid w:val="7C077F70"/>
    <w:rsid w:val="7C54743F"/>
    <w:rsid w:val="7CC15AC5"/>
    <w:rsid w:val="7D0F63FE"/>
    <w:rsid w:val="7D164BEE"/>
    <w:rsid w:val="7D191401"/>
    <w:rsid w:val="7D1968BB"/>
    <w:rsid w:val="7D657BDE"/>
    <w:rsid w:val="7D663062"/>
    <w:rsid w:val="7D794E4C"/>
    <w:rsid w:val="7D9722AA"/>
    <w:rsid w:val="7D982141"/>
    <w:rsid w:val="7D997D9B"/>
    <w:rsid w:val="7DC71920"/>
    <w:rsid w:val="7DD87902"/>
    <w:rsid w:val="7E2270DC"/>
    <w:rsid w:val="7E6F18A6"/>
    <w:rsid w:val="7E701800"/>
    <w:rsid w:val="7E77043D"/>
    <w:rsid w:val="7E7E3FD8"/>
    <w:rsid w:val="7EC86EB0"/>
    <w:rsid w:val="7EFF4184"/>
    <w:rsid w:val="7F067F97"/>
    <w:rsid w:val="7F0B4FDE"/>
    <w:rsid w:val="7F321B00"/>
    <w:rsid w:val="7F337BC7"/>
    <w:rsid w:val="7F8D5183"/>
    <w:rsid w:val="7FA970CD"/>
    <w:rsid w:val="7FC519FE"/>
    <w:rsid w:val="7FD358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5"/>
    <w:qFormat/>
    <w:uiPriority w:val="0"/>
    <w:pPr>
      <w:keepNext/>
      <w:keepLines/>
      <w:spacing w:before="340" w:after="330" w:line="578" w:lineRule="auto"/>
      <w:outlineLvl w:val="0"/>
    </w:pPr>
    <w:rPr>
      <w:rFonts w:ascii="宋体" w:hAnsi="宋体"/>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numPr>
        <w:ilvl w:val="4"/>
        <w:numId w:val="1"/>
      </w:numPr>
      <w:spacing w:before="280" w:after="290" w:line="376" w:lineRule="auto"/>
      <w:outlineLvl w:val="4"/>
    </w:pPr>
    <w:rPr>
      <w:b/>
      <w:bCs/>
      <w:sz w:val="28"/>
      <w:szCs w:val="28"/>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toc 2"/>
    <w:basedOn w:val="1"/>
    <w:next w:val="1"/>
    <w:qFormat/>
    <w:uiPriority w:val="0"/>
    <w:pPr>
      <w:ind w:left="210"/>
    </w:pPr>
    <w:rPr>
      <w:smallCaps/>
      <w:sz w:val="20"/>
      <w:szCs w:val="20"/>
    </w:rPr>
  </w:style>
  <w:style w:type="paragraph" w:styleId="9">
    <w:name w:val="toc 7"/>
    <w:basedOn w:val="1"/>
    <w:next w:val="1"/>
    <w:qFormat/>
    <w:uiPriority w:val="0"/>
    <w:pPr>
      <w:ind w:left="1260"/>
      <w:jc w:val="left"/>
    </w:pPr>
    <w:rPr>
      <w:rFonts w:ascii="Calibri" w:hAnsi="Calibri" w:cs="Calibri"/>
      <w:sz w:val="20"/>
      <w:szCs w:val="20"/>
    </w:rPr>
  </w:style>
  <w:style w:type="paragraph" w:styleId="10">
    <w:name w:val="Normal Indent"/>
    <w:basedOn w:val="1"/>
    <w:qFormat/>
    <w:uiPriority w:val="0"/>
    <w:pPr>
      <w:spacing w:line="360" w:lineRule="auto"/>
      <w:ind w:firstLine="420" w:firstLineChars="200"/>
    </w:pPr>
    <w:rPr>
      <w:sz w:val="28"/>
      <w:szCs w:val="24"/>
    </w:rPr>
  </w:style>
  <w:style w:type="paragraph" w:styleId="11">
    <w:name w:val="Document Map"/>
    <w:basedOn w:val="1"/>
    <w:semiHidden/>
    <w:qFormat/>
    <w:uiPriority w:val="0"/>
    <w:pPr>
      <w:shd w:val="clear" w:color="auto" w:fill="000080"/>
    </w:pPr>
  </w:style>
  <w:style w:type="paragraph" w:styleId="12">
    <w:name w:val="annotation text"/>
    <w:basedOn w:val="1"/>
    <w:qFormat/>
    <w:uiPriority w:val="0"/>
    <w:pPr>
      <w:jc w:val="left"/>
    </w:pPr>
  </w:style>
  <w:style w:type="paragraph" w:styleId="13">
    <w:name w:val="Salutation"/>
    <w:basedOn w:val="1"/>
    <w:next w:val="1"/>
    <w:qFormat/>
    <w:uiPriority w:val="0"/>
    <w:rPr>
      <w:sz w:val="28"/>
    </w:rPr>
  </w:style>
  <w:style w:type="paragraph" w:styleId="14">
    <w:name w:val="Body Text 3"/>
    <w:basedOn w:val="1"/>
    <w:qFormat/>
    <w:uiPriority w:val="0"/>
    <w:pPr>
      <w:spacing w:line="500" w:lineRule="exact"/>
    </w:pPr>
    <w:rPr>
      <w:color w:val="000000"/>
      <w:sz w:val="24"/>
      <w:szCs w:val="24"/>
    </w:rPr>
  </w:style>
  <w:style w:type="paragraph" w:styleId="15">
    <w:name w:val="Body Text Indent"/>
    <w:basedOn w:val="1"/>
    <w:next w:val="16"/>
    <w:qFormat/>
    <w:uiPriority w:val="0"/>
    <w:pPr>
      <w:spacing w:line="360" w:lineRule="auto"/>
      <w:ind w:right="10" w:firstLine="480"/>
    </w:pPr>
    <w:rPr>
      <w:rFonts w:ascii="宋体"/>
      <w:sz w:val="24"/>
    </w:rPr>
  </w:style>
  <w:style w:type="paragraph" w:styleId="16">
    <w:name w:val="envelope return"/>
    <w:basedOn w:val="1"/>
    <w:qFormat/>
    <w:uiPriority w:val="0"/>
    <w:pPr>
      <w:snapToGrid w:val="0"/>
    </w:pPr>
    <w:rPr>
      <w:rFonts w:ascii="Arial" w:hAnsi="Arial" w:eastAsia="Calibri"/>
    </w:rPr>
  </w:style>
  <w:style w:type="paragraph" w:styleId="17">
    <w:name w:val="Block Text"/>
    <w:basedOn w:val="1"/>
    <w:qFormat/>
    <w:uiPriority w:val="0"/>
    <w:pPr>
      <w:tabs>
        <w:tab w:val="left" w:pos="851"/>
      </w:tabs>
      <w:spacing w:line="400" w:lineRule="exact"/>
      <w:ind w:left="-108" w:right="-108"/>
      <w:jc w:val="center"/>
    </w:pPr>
    <w:rPr>
      <w:rFonts w:ascii="楷体_GB2312" w:eastAsia="楷体_GB2312"/>
      <w:sz w:val="24"/>
    </w:rPr>
  </w:style>
  <w:style w:type="paragraph" w:styleId="18">
    <w:name w:val="Plain Text"/>
    <w:basedOn w:val="1"/>
    <w:next w:val="1"/>
    <w:link w:val="61"/>
    <w:qFormat/>
    <w:uiPriority w:val="0"/>
    <w:rPr>
      <w:rFonts w:ascii="宋体" w:hAnsi="Courier New"/>
    </w:rPr>
  </w:style>
  <w:style w:type="paragraph" w:styleId="19">
    <w:name w:val="Date"/>
    <w:basedOn w:val="1"/>
    <w:next w:val="1"/>
    <w:link w:val="58"/>
    <w:qFormat/>
    <w:uiPriority w:val="0"/>
    <w:rPr>
      <w:rFonts w:ascii="楷体_GB2312" w:hAnsi="宋体" w:eastAsia="楷体_GB2312"/>
      <w:bCs/>
      <w:snapToGrid w:val="0"/>
      <w:spacing w:val="20"/>
      <w:kern w:val="0"/>
      <w:sz w:val="24"/>
    </w:rPr>
  </w:style>
  <w:style w:type="paragraph" w:styleId="20">
    <w:name w:val="Body Text Indent 2"/>
    <w:basedOn w:val="1"/>
    <w:qFormat/>
    <w:uiPriority w:val="0"/>
    <w:pPr>
      <w:spacing w:line="440" w:lineRule="exact"/>
      <w:ind w:firstLine="412"/>
    </w:pPr>
    <w:rPr>
      <w:rFonts w:ascii="宋体"/>
      <w:color w:val="FF0000"/>
      <w:sz w:val="24"/>
    </w:rPr>
  </w:style>
  <w:style w:type="paragraph" w:styleId="21">
    <w:name w:val="Balloon Text"/>
    <w:basedOn w:val="1"/>
    <w:semiHidden/>
    <w:qFormat/>
    <w:uiPriority w:val="0"/>
    <w:rPr>
      <w:sz w:val="18"/>
      <w:szCs w:val="18"/>
    </w:rPr>
  </w:style>
  <w:style w:type="paragraph" w:styleId="22">
    <w:name w:val="footer"/>
    <w:basedOn w:val="1"/>
    <w:link w:val="63"/>
    <w:qFormat/>
    <w:uiPriority w:val="0"/>
    <w:pPr>
      <w:tabs>
        <w:tab w:val="center" w:pos="4153"/>
        <w:tab w:val="right" w:pos="8306"/>
      </w:tabs>
      <w:snapToGrid w:val="0"/>
      <w:jc w:val="left"/>
    </w:pPr>
    <w:rPr>
      <w:sz w:val="18"/>
    </w:rPr>
  </w:style>
  <w:style w:type="paragraph" w:styleId="23">
    <w:name w:val="header"/>
    <w:basedOn w:val="1"/>
    <w:link w:val="60"/>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0"/>
    <w:pPr>
      <w:widowControl w:val="0"/>
      <w:tabs>
        <w:tab w:val="left" w:pos="1200"/>
        <w:tab w:val="right" w:leader="dot" w:pos="8296"/>
      </w:tabs>
      <w:adjustRightInd/>
      <w:snapToGrid/>
      <w:spacing w:after="0"/>
      <w:jc w:val="both"/>
    </w:pPr>
    <w:rPr>
      <w:rFonts w:ascii="Times New Roman" w:hAnsi="Times New Roman" w:eastAsia="宋体" w:cs="Times New Roman"/>
      <w:kern w:val="2"/>
      <w:sz w:val="24"/>
      <w:szCs w:val="20"/>
    </w:rPr>
  </w:style>
  <w:style w:type="paragraph" w:styleId="25">
    <w:name w:val="Body Text Indent 3"/>
    <w:basedOn w:val="1"/>
    <w:qFormat/>
    <w:uiPriority w:val="0"/>
    <w:pPr>
      <w:spacing w:line="620" w:lineRule="exact"/>
      <w:ind w:firstLine="570"/>
    </w:pPr>
    <w:rPr>
      <w:rFonts w:ascii="宋体"/>
      <w:sz w:val="24"/>
    </w:rPr>
  </w:style>
  <w:style w:type="paragraph" w:styleId="26">
    <w:name w:val="Body Text 2"/>
    <w:basedOn w:val="1"/>
    <w:qFormat/>
    <w:uiPriority w:val="0"/>
    <w:pPr>
      <w:spacing w:line="360" w:lineRule="auto"/>
    </w:pPr>
    <w:rPr>
      <w:rFonts w:ascii="宋体"/>
      <w:sz w:val="24"/>
    </w:rPr>
  </w:style>
  <w:style w:type="paragraph" w:styleId="27">
    <w:name w:val="Message Header"/>
    <w:basedOn w:val="2"/>
    <w:qFormat/>
    <w:uiPriority w:val="0"/>
    <w:pPr>
      <w:keepLines/>
      <w:widowControl/>
      <w:tabs>
        <w:tab w:val="left" w:pos="1560"/>
      </w:tabs>
      <w:spacing w:line="415" w:lineRule="atLeast"/>
      <w:ind w:left="1560" w:right="-360" w:hanging="720"/>
      <w:jc w:val="left"/>
    </w:pPr>
    <w:rPr>
      <w:kern w:val="0"/>
      <w:sz w:val="18"/>
      <w:lang w:bidi="he-IL"/>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2"/>
    <w:next w:val="12"/>
    <w:semiHidden/>
    <w:qFormat/>
    <w:uiPriority w:val="0"/>
    <w:rPr>
      <w:b/>
      <w:bCs/>
    </w:rPr>
  </w:style>
  <w:style w:type="paragraph" w:styleId="30">
    <w:name w:val="Body Text First Indent"/>
    <w:basedOn w:val="2"/>
    <w:next w:val="10"/>
    <w:qFormat/>
    <w:uiPriority w:val="0"/>
    <w:pPr>
      <w:ind w:firstLine="420" w:firstLineChars="100"/>
    </w:pPr>
    <w:rPr>
      <w:rFonts w:ascii="Times New Roman" w:hAnsi="Times New Roman" w:eastAsia="宋体" w:cs="Times New Roman"/>
    </w:rPr>
  </w:style>
  <w:style w:type="paragraph" w:styleId="31">
    <w:name w:val="Body Text First Indent 2"/>
    <w:basedOn w:val="15"/>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basedOn w:val="34"/>
    <w:qFormat/>
    <w:uiPriority w:val="0"/>
    <w:rPr>
      <w:rFonts w:hint="eastAsia" w:ascii="微软雅黑" w:hAnsi="微软雅黑" w:eastAsia="微软雅黑" w:cs="微软雅黑"/>
      <w:color w:val="323232"/>
      <w:sz w:val="14"/>
      <w:szCs w:val="14"/>
      <w:u w:val="none"/>
    </w:rPr>
  </w:style>
  <w:style w:type="character" w:styleId="38">
    <w:name w:val="Hyperlink"/>
    <w:qFormat/>
    <w:uiPriority w:val="0"/>
    <w:rPr>
      <w:color w:val="0000FF"/>
      <w:u w:val="single"/>
    </w:rPr>
  </w:style>
  <w:style w:type="character" w:styleId="39">
    <w:name w:val="annotation reference"/>
    <w:basedOn w:val="34"/>
    <w:semiHidden/>
    <w:qFormat/>
    <w:uiPriority w:val="0"/>
    <w:rPr>
      <w:sz w:val="21"/>
      <w:szCs w:val="21"/>
    </w:rPr>
  </w:style>
  <w:style w:type="paragraph" w:customStyle="1" w:styleId="40">
    <w:name w:val="样式3"/>
    <w:basedOn w:val="1"/>
    <w:next w:val="1"/>
    <w:qFormat/>
    <w:uiPriority w:val="0"/>
    <w:pPr>
      <w:spacing w:line="300" w:lineRule="auto"/>
    </w:pPr>
    <w:rPr>
      <w:rFonts w:ascii="宋体"/>
      <w:sz w:val="24"/>
      <w:szCs w:val="24"/>
    </w:rPr>
  </w:style>
  <w:style w:type="paragraph" w:customStyle="1" w:styleId="41">
    <w:name w:val="_Style 2"/>
    <w:basedOn w:val="1"/>
    <w:next w:val="1"/>
    <w:qFormat/>
    <w:uiPriority w:val="0"/>
    <w:pPr>
      <w:ind w:firstLine="420" w:firstLineChars="200"/>
    </w:pPr>
  </w:style>
  <w:style w:type="paragraph" w:customStyle="1" w:styleId="42">
    <w:name w:val="正文1"/>
    <w:basedOn w:val="1"/>
    <w:qFormat/>
    <w:uiPriority w:val="0"/>
    <w:pPr>
      <w:spacing w:line="360" w:lineRule="auto"/>
      <w:ind w:left="1260" w:leftChars="600" w:firstLine="540" w:firstLineChars="257"/>
    </w:pPr>
    <w:rPr>
      <w:rFonts w:ascii="宋体" w:hAnsi="宋体"/>
      <w:szCs w:val="24"/>
    </w:rPr>
  </w:style>
  <w:style w:type="paragraph" w:customStyle="1" w:styleId="43">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44">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styleId="47">
    <w:name w:val="List Paragraph"/>
    <w:basedOn w:val="1"/>
    <w:qFormat/>
    <w:uiPriority w:val="0"/>
    <w:pPr>
      <w:ind w:firstLine="420" w:firstLineChars="200"/>
    </w:pPr>
    <w:rPr>
      <w:szCs w:val="22"/>
    </w:rPr>
  </w:style>
  <w:style w:type="paragraph" w:customStyle="1" w:styleId="48">
    <w:name w:val="List Paragraph11"/>
    <w:basedOn w:val="1"/>
    <w:qFormat/>
    <w:uiPriority w:val="0"/>
    <w:pPr>
      <w:ind w:firstLine="420" w:firstLineChars="200"/>
    </w:pPr>
    <w:rPr>
      <w:rFonts w:ascii="Calibri" w:hAnsi="Calibri" w:cs="宋体"/>
      <w:szCs w:val="21"/>
    </w:rPr>
  </w:style>
  <w:style w:type="paragraph" w:customStyle="1" w:styleId="49">
    <w:name w:val=" Char Char Char"/>
    <w:basedOn w:val="1"/>
    <w:qFormat/>
    <w:uiPriority w:val="0"/>
    <w:rPr>
      <w:rFonts w:ascii="Tahoma" w:hAnsi="Tahoma"/>
      <w:sz w:val="24"/>
    </w:rPr>
  </w:style>
  <w:style w:type="paragraph" w:customStyle="1" w:styleId="50">
    <w:name w:val="Table Paragraph"/>
    <w:basedOn w:val="1"/>
    <w:qFormat/>
    <w:uiPriority w:val="1"/>
    <w:rPr>
      <w:rFonts w:ascii="仿宋" w:hAnsi="仿宋" w:eastAsia="仿宋" w:cs="仿宋"/>
      <w:lang w:val="zh-CN" w:eastAsia="zh-CN" w:bidi="zh-CN"/>
    </w:rPr>
  </w:style>
  <w:style w:type="paragraph" w:customStyle="1" w:styleId="51">
    <w:name w:val="Char Char1 Char Char Char Char Char Char"/>
    <w:basedOn w:val="1"/>
    <w:link w:val="62"/>
    <w:qFormat/>
    <w:uiPriority w:val="0"/>
    <w:pPr>
      <w:widowControl/>
      <w:tabs>
        <w:tab w:val="left" w:pos="432"/>
      </w:tabs>
      <w:spacing w:after="160" w:line="240" w:lineRule="exact"/>
      <w:jc w:val="left"/>
    </w:pPr>
    <w:rPr>
      <w:rFonts w:ascii="Verdana" w:hAnsi="Verdana" w:eastAsia="仿宋_GB2312"/>
      <w:b/>
      <w:kern w:val="0"/>
      <w:sz w:val="24"/>
      <w:szCs w:val="24"/>
      <w:lang w:eastAsia="en-US"/>
    </w:rPr>
  </w:style>
  <w:style w:type="paragraph" w:customStyle="1" w:styleId="52">
    <w:name w:val=" Char Char Char Char"/>
    <w:basedOn w:val="1"/>
    <w:qFormat/>
    <w:uiPriority w:val="0"/>
    <w:rPr>
      <w:szCs w:val="24"/>
    </w:rPr>
  </w:style>
  <w:style w:type="paragraph" w:customStyle="1" w:styleId="53">
    <w:name w:val="默认段落字体 Char"/>
    <w:basedOn w:val="1"/>
    <w:qFormat/>
    <w:uiPriority w:val="0"/>
    <w:rPr>
      <w:szCs w:val="24"/>
    </w:rPr>
  </w:style>
  <w:style w:type="paragraph" w:customStyle="1" w:styleId="54">
    <w:name w:val="表头文本"/>
    <w:qFormat/>
    <w:uiPriority w:val="0"/>
    <w:pPr>
      <w:jc w:val="center"/>
    </w:pPr>
    <w:rPr>
      <w:rFonts w:ascii="Arial" w:hAnsi="Arial" w:eastAsia="宋体" w:cs="Times New Roman"/>
      <w:b/>
      <w:sz w:val="21"/>
      <w:szCs w:val="21"/>
      <w:lang w:val="en-US" w:eastAsia="zh-CN" w:bidi="ar-SA"/>
    </w:rPr>
  </w:style>
  <w:style w:type="paragraph" w:customStyle="1" w:styleId="55">
    <w:name w:val="List Paragraph1"/>
    <w:basedOn w:val="1"/>
    <w:qFormat/>
    <w:uiPriority w:val="0"/>
    <w:pPr>
      <w:ind w:firstLine="420" w:firstLineChars="200"/>
    </w:pPr>
    <w:rPr>
      <w:rFonts w:ascii="Calibri" w:hAnsi="Calibri"/>
      <w:szCs w:val="24"/>
    </w:rPr>
  </w:style>
  <w:style w:type="paragraph" w:customStyle="1" w:styleId="56">
    <w:name w:val=" Char1 Char Char Char Char Char Char"/>
    <w:basedOn w:val="1"/>
    <w:qFormat/>
    <w:uiPriority w:val="0"/>
    <w:rPr>
      <w:rFonts w:ascii="Tahoma" w:hAnsi="Tahoma"/>
      <w:sz w:val="24"/>
    </w:rPr>
  </w:style>
  <w:style w:type="character" w:customStyle="1" w:styleId="57">
    <w:name w:val="消息标题号"/>
    <w:qFormat/>
    <w:uiPriority w:val="0"/>
    <w:rPr>
      <w:rFonts w:ascii="Arial" w:hAnsi="Arial" w:eastAsia="黑体"/>
      <w:b/>
      <w:spacing w:val="-4"/>
      <w:sz w:val="21"/>
      <w:lang w:eastAsia="zh-CN"/>
    </w:rPr>
  </w:style>
  <w:style w:type="character" w:customStyle="1" w:styleId="58">
    <w:name w:val="日期 Char"/>
    <w:link w:val="19"/>
    <w:qFormat/>
    <w:uiPriority w:val="0"/>
    <w:rPr>
      <w:rFonts w:ascii="楷体_GB2312" w:hAnsi="宋体" w:eastAsia="楷体_GB2312"/>
      <w:bCs/>
      <w:snapToGrid w:val="0"/>
      <w:spacing w:val="20"/>
      <w:sz w:val="24"/>
      <w:lang w:val="en-US" w:eastAsia="zh-CN" w:bidi="ar-SA"/>
    </w:rPr>
  </w:style>
  <w:style w:type="character" w:customStyle="1" w:styleId="59">
    <w:name w:val="p12"/>
    <w:basedOn w:val="34"/>
    <w:qFormat/>
    <w:uiPriority w:val="0"/>
  </w:style>
  <w:style w:type="character" w:customStyle="1" w:styleId="60">
    <w:name w:val="页眉 Char"/>
    <w:link w:val="23"/>
    <w:qFormat/>
    <w:uiPriority w:val="0"/>
    <w:rPr>
      <w:rFonts w:eastAsia="宋体"/>
      <w:kern w:val="2"/>
      <w:sz w:val="18"/>
      <w:lang w:val="en-US" w:eastAsia="zh-CN" w:bidi="ar-SA"/>
    </w:rPr>
  </w:style>
  <w:style w:type="character" w:customStyle="1" w:styleId="61">
    <w:name w:val="纯文本 Char"/>
    <w:link w:val="18"/>
    <w:qFormat/>
    <w:uiPriority w:val="0"/>
    <w:rPr>
      <w:rFonts w:ascii="宋体" w:hAnsi="Courier New" w:eastAsia="宋体"/>
      <w:kern w:val="2"/>
      <w:sz w:val="21"/>
      <w:lang w:val="en-US" w:eastAsia="zh-CN" w:bidi="ar-SA"/>
    </w:rPr>
  </w:style>
  <w:style w:type="character" w:customStyle="1" w:styleId="62">
    <w:name w:val="Char Char1 Char Char Char Char Char Char Char Char"/>
    <w:link w:val="51"/>
    <w:qFormat/>
    <w:uiPriority w:val="0"/>
    <w:rPr>
      <w:rFonts w:ascii="Verdana" w:hAnsi="Verdana" w:eastAsia="仿宋_GB2312"/>
      <w:b/>
      <w:sz w:val="24"/>
      <w:szCs w:val="24"/>
      <w:lang w:eastAsia="en-US"/>
    </w:rPr>
  </w:style>
  <w:style w:type="character" w:customStyle="1" w:styleId="63">
    <w:name w:val="页脚 Char"/>
    <w:link w:val="22"/>
    <w:qFormat/>
    <w:uiPriority w:val="0"/>
    <w:rPr>
      <w:rFonts w:eastAsia="宋体"/>
      <w:kern w:val="2"/>
      <w:sz w:val="18"/>
      <w:lang w:val="en-US" w:eastAsia="zh-CN" w:bidi="ar-SA"/>
    </w:rPr>
  </w:style>
  <w:style w:type="character" w:customStyle="1" w:styleId="64">
    <w:name w:val="标题 4 Char"/>
    <w:link w:val="7"/>
    <w:qFormat/>
    <w:uiPriority w:val="0"/>
    <w:rPr>
      <w:rFonts w:ascii="Arial" w:hAnsi="Arial" w:eastAsia="黑体"/>
      <w:b/>
      <w:bCs/>
      <w:kern w:val="2"/>
      <w:sz w:val="28"/>
      <w:szCs w:val="28"/>
      <w:lang w:val="en-US" w:eastAsia="zh-CN" w:bidi="ar-SA"/>
    </w:rPr>
  </w:style>
  <w:style w:type="character" w:customStyle="1" w:styleId="65">
    <w:name w:val="标题 1 Char"/>
    <w:link w:val="4"/>
    <w:qFormat/>
    <w:uiPriority w:val="0"/>
    <w:rPr>
      <w:rFonts w:ascii="宋体" w:hAnsi="宋体" w:cs="宋体"/>
      <w:b/>
      <w:bCs/>
      <w:kern w:val="44"/>
      <w:sz w:val="44"/>
      <w:szCs w:val="44"/>
    </w:rPr>
  </w:style>
  <w:style w:type="character" w:customStyle="1" w:styleId="66">
    <w:name w:val="font01"/>
    <w:basedOn w:val="34"/>
    <w:qFormat/>
    <w:uiPriority w:val="0"/>
    <w:rPr>
      <w:rFonts w:hint="eastAsia" w:ascii="宋体" w:hAnsi="宋体" w:eastAsia="宋体" w:cs="宋体"/>
      <w:color w:val="000000"/>
      <w:sz w:val="16"/>
      <w:szCs w:val="16"/>
      <w:u w:val="none"/>
    </w:rPr>
  </w:style>
  <w:style w:type="character" w:customStyle="1" w:styleId="67">
    <w:name w:val="font21"/>
    <w:basedOn w:val="34"/>
    <w:qFormat/>
    <w:uiPriority w:val="0"/>
    <w:rPr>
      <w:rFonts w:hint="default" w:ascii="Calibri" w:hAnsi="Calibri" w:cs="Calibri"/>
      <w:color w:val="000000"/>
      <w:sz w:val="16"/>
      <w:szCs w:val="16"/>
      <w:u w:val="none"/>
    </w:rPr>
  </w:style>
  <w:style w:type="paragraph" w:customStyle="1" w:styleId="68">
    <w:name w:val="Body text|1"/>
    <w:basedOn w:val="1"/>
    <w:qFormat/>
    <w:uiPriority w:val="0"/>
    <w:pPr>
      <w:spacing w:line="446" w:lineRule="auto"/>
      <w:ind w:firstLine="400"/>
    </w:pPr>
    <w:rPr>
      <w:sz w:val="28"/>
      <w:szCs w:val="28"/>
      <w:lang w:val="zh-TW" w:eastAsia="zh-TW" w:bidi="zh-TW"/>
    </w:rPr>
  </w:style>
  <w:style w:type="paragraph" w:customStyle="1" w:styleId="69">
    <w:name w:val="列出段落1"/>
    <w:basedOn w:val="1"/>
    <w:semiHidden/>
    <w:qFormat/>
    <w:uiPriority w:val="0"/>
    <w:pPr>
      <w:widowControl/>
      <w:adjustRightInd w:val="0"/>
      <w:snapToGrid w:val="0"/>
      <w:spacing w:before="100" w:beforeAutospacing="1" w:after="200"/>
      <w:ind w:firstLine="420" w:firstLineChars="200"/>
      <w:jc w:val="left"/>
    </w:pPr>
    <w:rPr>
      <w:rFonts w:ascii="Tahoma" w:hAnsi="Tahoma" w:eastAsia="微软雅黑"/>
      <w:kern w:val="0"/>
      <w:sz w:val="22"/>
      <w:szCs w:val="22"/>
    </w:rPr>
  </w:style>
  <w:style w:type="paragraph" w:customStyle="1" w:styleId="70">
    <w:name w:val="Other|1"/>
    <w:basedOn w:val="1"/>
    <w:qFormat/>
    <w:uiPriority w:val="0"/>
    <w:pPr>
      <w:widowControl w:val="0"/>
      <w:shd w:val="clear" w:color="auto" w:fill="auto"/>
      <w:ind w:firstLine="140"/>
    </w:pPr>
    <w:rPr>
      <w:rFonts w:ascii="宋体" w:hAnsi="宋体" w:eastAsia="宋体" w:cs="宋体"/>
      <w:sz w:val="15"/>
      <w:szCs w:val="15"/>
      <w:u w:val="none"/>
      <w:shd w:val="clear" w:color="auto" w:fill="auto"/>
      <w:lang w:val="zh-TW" w:eastAsia="zh-TW" w:bidi="zh-TW"/>
    </w:rPr>
  </w:style>
  <w:style w:type="paragraph" w:customStyle="1" w:styleId="71">
    <w:name w:val="Heading #1|1"/>
    <w:basedOn w:val="1"/>
    <w:qFormat/>
    <w:uiPriority w:val="0"/>
    <w:pPr>
      <w:widowControl w:val="0"/>
      <w:shd w:val="clear" w:color="auto" w:fill="auto"/>
      <w:ind w:firstLine="190"/>
      <w:outlineLvl w:val="0"/>
    </w:pPr>
    <w:rPr>
      <w:rFonts w:ascii="宋体" w:hAnsi="宋体" w:eastAsia="宋体" w:cs="宋体"/>
      <w:sz w:val="26"/>
      <w:szCs w:val="26"/>
      <w:u w:val="none"/>
      <w:shd w:val="clear" w:color="auto" w:fill="auto"/>
      <w:lang w:val="zh-TW" w:eastAsia="zh-TW" w:bidi="zh-TW"/>
    </w:rPr>
  </w:style>
  <w:style w:type="paragraph" w:customStyle="1" w:styleId="72">
    <w:name w:val="3 Char Char Char Char Char Char Char Char Char1 Char Char Char Char"/>
    <w:basedOn w:val="1"/>
    <w:next w:val="73"/>
    <w:qFormat/>
    <w:uiPriority w:val="0"/>
    <w:pPr>
      <w:widowControl w:val="0"/>
      <w:autoSpaceDE/>
      <w:autoSpaceDN/>
      <w:spacing w:before="0" w:after="0" w:line="360" w:lineRule="auto"/>
      <w:ind w:left="0" w:firstLine="200"/>
      <w:jc w:val="both"/>
    </w:pPr>
    <w:rPr>
      <w:rFonts w:ascii="Times New Roman" w:eastAsia="仿宋_GB2312"/>
      <w:sz w:val="24"/>
    </w:rPr>
  </w:style>
  <w:style w:type="paragraph" w:customStyle="1" w:styleId="73">
    <w:name w:val="xl132"/>
    <w:basedOn w:val="1"/>
    <w:next w:val="74"/>
    <w:qFormat/>
    <w:uiPriority w:val="0"/>
    <w:pPr>
      <w:widowControl/>
      <w:shd w:val="clear" w:color="000000" w:fill="FFFFFF"/>
      <w:autoSpaceDE/>
      <w:autoSpaceDN/>
      <w:spacing w:before="280" w:after="280" w:line="240" w:lineRule="auto"/>
      <w:ind w:left="0" w:firstLine="0"/>
      <w:jc w:val="center"/>
    </w:pPr>
    <w:rPr>
      <w:rFonts w:ascii="Times New Roman" w:eastAsia="宋体"/>
      <w:color w:val="000000"/>
      <w:sz w:val="20"/>
    </w:rPr>
  </w:style>
  <w:style w:type="paragraph" w:customStyle="1" w:styleId="74">
    <w:name w:val="xl81"/>
    <w:basedOn w:val="1"/>
    <w:next w:val="75"/>
    <w:qFormat/>
    <w:uiPriority w:val="0"/>
    <w:pPr>
      <w:widowControl/>
      <w:autoSpaceDE/>
      <w:autoSpaceDN/>
      <w:spacing w:before="280" w:after="280" w:line="240" w:lineRule="auto"/>
      <w:ind w:left="0" w:firstLine="0"/>
      <w:jc w:val="center"/>
    </w:pPr>
    <w:rPr>
      <w:rFonts w:ascii="宋体" w:eastAsia="宋体"/>
      <w:sz w:val="24"/>
    </w:rPr>
  </w:style>
  <w:style w:type="paragraph" w:customStyle="1" w:styleId="75">
    <w:name w:val="3 Char Char Char Char Char Char Char Char Char"/>
    <w:basedOn w:val="1"/>
    <w:next w:val="1"/>
    <w:qFormat/>
    <w:uiPriority w:val="0"/>
    <w:pPr>
      <w:widowControl w:val="0"/>
      <w:autoSpaceDE/>
      <w:autoSpaceDN/>
      <w:spacing w:before="0" w:after="0" w:line="360" w:lineRule="auto"/>
      <w:ind w:left="0" w:firstLine="200"/>
      <w:jc w:val="both"/>
    </w:pPr>
    <w:rPr>
      <w:rFonts w:ascii="Times New Roman" w:eastAsia="仿宋_GB2312"/>
      <w:sz w:val="24"/>
    </w:rPr>
  </w:style>
  <w:style w:type="paragraph" w:customStyle="1" w:styleId="76">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77">
    <w:name w:val="正文文本1"/>
    <w:basedOn w:val="1"/>
    <w:qFormat/>
    <w:uiPriority w:val="0"/>
    <w:pPr>
      <w:spacing w:after="120"/>
    </w:pPr>
    <w:rPr>
      <w:rFonts w:asciiTheme="minorHAnsi" w:hAnsiTheme="minorHAnsi" w:eastAsiaTheme="minorEastAsia" w:cstheme="minorBidi"/>
      <w:szCs w:val="22"/>
    </w:rPr>
  </w:style>
  <w:style w:type="character" w:customStyle="1" w:styleId="78">
    <w:name w:val="font51"/>
    <w:basedOn w:val="34"/>
    <w:qFormat/>
    <w:uiPriority w:val="0"/>
    <w:rPr>
      <w:rFonts w:ascii="宋体" w:hAnsi="宋体" w:eastAsia="宋体" w:cs="宋体"/>
      <w:color w:val="000000"/>
      <w:sz w:val="18"/>
      <w:szCs w:val="18"/>
      <w:u w:val="none"/>
    </w:rPr>
  </w:style>
  <w:style w:type="character" w:customStyle="1" w:styleId="79">
    <w:name w:val="font31"/>
    <w:basedOn w:val="34"/>
    <w:qFormat/>
    <w:uiPriority w:val="0"/>
    <w:rPr>
      <w:rFonts w:hint="eastAsia" w:ascii="宋体" w:hAnsi="宋体" w:eastAsia="宋体" w:cs="宋体"/>
      <w:color w:val="000000"/>
      <w:sz w:val="18"/>
      <w:szCs w:val="18"/>
      <w:u w:val="none"/>
    </w:rPr>
  </w:style>
  <w:style w:type="character" w:customStyle="1" w:styleId="80">
    <w:name w:val="font11"/>
    <w:basedOn w:val="34"/>
    <w:qFormat/>
    <w:uiPriority w:val="0"/>
    <w:rPr>
      <w:rFonts w:hint="eastAsia" w:ascii="宋体" w:hAnsi="宋体" w:eastAsia="宋体" w:cs="宋体"/>
      <w:color w:val="000000"/>
      <w:sz w:val="20"/>
      <w:szCs w:val="20"/>
      <w:u w:val="none"/>
    </w:rPr>
  </w:style>
  <w:style w:type="character" w:customStyle="1" w:styleId="81">
    <w:name w:val="font41"/>
    <w:basedOn w:val="34"/>
    <w:qFormat/>
    <w:uiPriority w:val="0"/>
    <w:rPr>
      <w:rFonts w:ascii="微软雅黑" w:hAnsi="微软雅黑" w:eastAsia="微软雅黑" w:cs="微软雅黑"/>
      <w:color w:val="000000"/>
      <w:sz w:val="20"/>
      <w:szCs w:val="20"/>
      <w:u w:val="none"/>
    </w:rPr>
  </w:style>
  <w:style w:type="character" w:customStyle="1" w:styleId="82">
    <w:name w:val="font61"/>
    <w:basedOn w:val="3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王利安</Manager>
  <Company>河北环诚工程管理有限公司</Company>
  <Pages>48</Pages>
  <Words>14735</Words>
  <Characters>15857</Characters>
  <Lines>167</Lines>
  <Paragraphs>47</Paragraphs>
  <TotalTime>316</TotalTime>
  <ScaleCrop>false</ScaleCrop>
  <LinksUpToDate>false</LinksUpToDate>
  <CharactersWithSpaces>17126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2016-09-02T06:35:00Z</dcterms:created>
  <dc:creator>王利安</dc:creator>
  <cp:lastModifiedBy>Lenovo</cp:lastModifiedBy>
  <cp:lastPrinted>2019-04-29T10:34:00Z</cp:lastPrinted>
  <dcterms:modified xsi:type="dcterms:W3CDTF">2023-11-23T09:23:37Z</dcterms:modified>
  <dc:subject>招标文件</dc:subject>
  <dc:title>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6F15417891D9408B88EF96B3D7059B70_13</vt:lpwstr>
  </property>
</Properties>
</file>