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成都高新区智慧感知源公安侧后端服务（一期）采购项目</w:t>
      </w:r>
    </w:p>
    <w:p>
      <w:pPr>
        <w:pStyle w:val="null3"/>
        <w:jc w:val="center"/>
        <w:outlineLvl w:val="2"/>
      </w:pPr>
      <w:r>
        <w:rPr>
          <w:b/>
          <w:sz w:val="28"/>
        </w:rPr>
        <w:t>采购项目编号：</w:t>
      </w:r>
      <w:r>
        <w:rPr>
          <w:b/>
          <w:sz w:val="28"/>
        </w:rPr>
        <w:t>N5101892023000349</w:t>
      </w:r>
      <w:r>
        <w:br/>
      </w:r>
      <w:r>
        <w:br/>
      </w:r>
      <w:r>
        <w:br/>
      </w:r>
    </w:p>
    <w:p>
      <w:pPr>
        <w:pStyle w:val="null3"/>
        <w:jc w:val="center"/>
        <w:outlineLvl w:val="2"/>
      </w:pPr>
      <w:r>
        <w:rPr>
          <w:b/>
          <w:sz w:val="28"/>
        </w:rPr>
        <w:t>成都市公安局高新技术产业开发区分局</w:t>
      </w:r>
    </w:p>
    <w:p>
      <w:pPr>
        <w:pStyle w:val="null3"/>
        <w:jc w:val="center"/>
        <w:outlineLvl w:val="2"/>
      </w:pPr>
      <w:r>
        <w:rPr>
          <w:b/>
          <w:sz w:val="28"/>
        </w:rPr>
        <w:t>四川国际招标有限责任公司</w:t>
      </w:r>
      <w:r>
        <w:rPr>
          <w:b/>
          <w:sz w:val="28"/>
        </w:rPr>
        <w:t>共同编制</w:t>
      </w:r>
    </w:p>
    <w:p>
      <w:pPr>
        <w:pStyle w:val="null3"/>
        <w:jc w:val="center"/>
        <w:outlineLvl w:val="2"/>
      </w:pPr>
      <w:r>
        <w:rPr>
          <w:b/>
          <w:sz w:val="28"/>
        </w:rPr>
        <w:t>2023年10月25日</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pPr>
      <w:r>
        <w:rPr/>
        <w:t>四川国际招标有限责任公司</w:t>
      </w:r>
      <w:r>
        <w:rPr/>
        <w:t>（以下简称“代理机构”）受</w:t>
      </w:r>
      <w:r>
        <w:rPr/>
        <w:t>成都市公安局高新技术产业开发区分局</w:t>
      </w:r>
      <w:r>
        <w:rPr/>
        <w:t>委托，拟对</w:t>
      </w:r>
      <w:r>
        <w:rPr/>
        <w:t>成都高新区智慧感知源公安侧后端服务（一期）采购项目</w:t>
      </w:r>
      <w:r>
        <w:rPr/>
        <w:t>进行国内公开招标，兹邀请符合本次招标要求的供应商参加投标。</w:t>
      </w:r>
    </w:p>
    <w:p>
      <w:pPr>
        <w:pStyle w:val="null3"/>
        <w:outlineLvl w:val="2"/>
      </w:pPr>
      <w:r>
        <w:rPr>
          <w:b/>
          <w:sz w:val="28"/>
        </w:rPr>
        <w:t>一、采购项目编号：</w:t>
      </w:r>
      <w:r>
        <w:rPr>
          <w:b/>
          <w:sz w:val="28"/>
        </w:rPr>
        <w:t>N5101892023000349</w:t>
      </w:r>
    </w:p>
    <w:p>
      <w:pPr>
        <w:pStyle w:val="null3"/>
        <w:outlineLvl w:val="2"/>
      </w:pPr>
      <w:r>
        <w:rPr>
          <w:b/>
          <w:sz w:val="28"/>
        </w:rPr>
        <w:t>二、采购项目名称：</w:t>
      </w:r>
      <w:r>
        <w:rPr>
          <w:b/>
          <w:sz w:val="28"/>
        </w:rPr>
        <w:t>成都高新区智慧感知源公安侧后端服务（一期）采购项目</w:t>
      </w:r>
    </w:p>
    <w:p>
      <w:pPr>
        <w:pStyle w:val="null3"/>
        <w:outlineLvl w:val="2"/>
      </w:pPr>
      <w:r>
        <w:rPr>
          <w:b/>
          <w:sz w:val="28"/>
        </w:rPr>
        <w:t>三、招标项目简介</w:t>
      </w:r>
    </w:p>
    <w:p>
      <w:pPr>
        <w:pStyle w:val="null3"/>
        <w:ind w:firstLine="480"/>
      </w:pPr>
      <w:r>
        <w:rPr/>
        <w:t>成都市公安局高新技术产业开发区分局采购成都高新区智慧感知源公安侧后端服务（一期）供应商一名。</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五、电子化采购相关事项</w:t>
      </w:r>
    </w:p>
    <w:p>
      <w:pPr>
        <w:pStyle w:val="null3"/>
        <w:ind w:firstLine="480"/>
      </w:pPr>
      <w:r>
        <w:rPr/>
        <w:t xml:space="preserve"> 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以下简称“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六、招标文件获取时间、方式及地址</w:t>
      </w:r>
    </w:p>
    <w:p>
      <w:pPr>
        <w:pStyle w:val="null3"/>
        <w:ind w:firstLine="480"/>
      </w:pPr>
      <w:r>
        <w:rPr/>
        <w:t>（一）招标文件获取时间：详见采购公告或邀请书</w:t>
      </w:r>
    </w:p>
    <w:p>
      <w:pPr>
        <w:pStyle w:val="null3"/>
        <w:ind w:firstLine="480"/>
      </w:pPr>
      <w:r>
        <w:rPr/>
        <w:t xml:space="preserve"> （二）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ind w:firstLine="480"/>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（一）投标文件提交截止时间及开标时间：详见采购公告或邀请书</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八、本投标邀请在四川政府采购网以公告形式发布</w:t>
      </w:r>
    </w:p>
    <w:p>
      <w:pPr>
        <w:pStyle w:val="null3"/>
        <w:outlineLvl w:val="2"/>
      </w:pPr>
      <w:r>
        <w:rPr>
          <w:b/>
          <w:sz w:val="28"/>
        </w:rPr>
        <w:t>九、供应商信用融资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成都市公安局高新技术产业开发区分局</w:t>
      </w:r>
    </w:p>
    <w:p>
      <w:pPr>
        <w:pStyle w:val="null3"/>
      </w:pPr>
    </w:p>
    <w:p>
      <w:pPr>
        <w:pStyle w:val="null3"/>
      </w:pPr>
    </w:p>
    <w:p>
      <w:pPr>
        <w:pStyle w:val="null3"/>
      </w:pPr>
      <w:r>
        <w:rPr/>
        <w:t xml:space="preserve"> 地址： </w:t>
      </w:r>
      <w:r>
        <w:rPr/>
        <w:t>成都市创业路18号</w:t>
      </w:r>
    </w:p>
    <w:p>
      <w:pPr>
        <w:pStyle w:val="null3"/>
      </w:pPr>
      <w:r>
        <w:rPr/>
        <w:t xml:space="preserve"> 邮编： </w:t>
      </w:r>
      <w:r>
        <w:rPr/>
        <w:t>610000</w:t>
      </w:r>
    </w:p>
    <w:p>
      <w:pPr>
        <w:pStyle w:val="null3"/>
      </w:pPr>
      <w:r>
        <w:rPr/>
        <w:t xml:space="preserve"> 联系人： </w:t>
      </w:r>
      <w:r>
        <w:rPr/>
        <w:t>罗老师</w:t>
      </w:r>
    </w:p>
    <w:p>
      <w:pPr>
        <w:pStyle w:val="null3"/>
      </w:pPr>
      <w:r>
        <w:rPr/>
        <w:t xml:space="preserve"> 联系电话： </w:t>
      </w:r>
      <w:r>
        <w:rPr/>
        <w:t>028-69709108</w:t>
      </w:r>
    </w:p>
    <w:p>
      <w:pPr>
        <w:pStyle w:val="null3"/>
        <w:outlineLvl w:val="2"/>
      </w:pPr>
      <w:r>
        <w:rPr>
          <w:b/>
          <w:sz w:val="28"/>
        </w:rPr>
        <w:t>代理机构：</w:t>
      </w:r>
      <w:r>
        <w:rPr>
          <w:b/>
          <w:sz w:val="28"/>
        </w:rPr>
        <w:t>四川国际招标有限责任公司</w:t>
      </w:r>
    </w:p>
    <w:p>
      <w:pPr>
        <w:pStyle w:val="null3"/>
      </w:pPr>
    </w:p>
    <w:p>
      <w:pPr>
        <w:pStyle w:val="null3"/>
      </w:pPr>
    </w:p>
    <w:p>
      <w:pPr>
        <w:pStyle w:val="null3"/>
      </w:pPr>
      <w:r>
        <w:rPr/>
        <w:t xml:space="preserve"> 地址： </w:t>
      </w:r>
      <w:r>
        <w:rPr/>
        <w:t>四川省成都市市辖区中国（四川）自由贸易试验区成都市高新区天府四街66号2栋22层1号</w:t>
      </w:r>
    </w:p>
    <w:p>
      <w:pPr>
        <w:pStyle w:val="null3"/>
      </w:pPr>
      <w:r>
        <w:rPr/>
        <w:t xml:space="preserve"> 邮编： </w:t>
      </w:r>
      <w:r>
        <w:rPr/>
        <w:t>610000</w:t>
      </w:r>
    </w:p>
    <w:p>
      <w:pPr>
        <w:pStyle w:val="null3"/>
      </w:pPr>
      <w:r>
        <w:rPr/>
        <w:t xml:space="preserve"> 联系人： </w:t>
      </w:r>
      <w:r>
        <w:rPr/>
        <w:t>张女士</w:t>
      </w:r>
    </w:p>
    <w:p>
      <w:pPr>
        <w:pStyle w:val="null3"/>
      </w:pPr>
      <w:r>
        <w:rPr/>
        <w:t xml:space="preserve"> 联系电话： </w:t>
      </w:r>
      <w:r>
        <w:rPr/>
        <w:t>13111881792</w:t>
      </w:r>
    </w:p>
    <w:p>
      <w:pPr>
        <w:pStyle w:val="null3"/>
      </w:pP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采购包1：31,818,900.00元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p>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 xml:space="preserve"> 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本项目不收取投标保证金。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 （1）定额收取20万元整。 （2）收款单位：四川国际招标有限责任公司 （3）开户行：中国民生银行股份有限公司成都分行营业部 （4）银行账号：9902001791092438 （5）采购合同签订前向代理机构交纳招标代理服务费 （6）招标代理服务费交纳完成后，可按照以下温馨提示开具发票：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中标通知书</w:t>
            </w:r>
          </w:p>
        </w:tc>
        <w:tc>
          <w:tcPr>
            <w:tcW w:type="dxa" w:w="5004"/>
          </w:tcPr>
          <w:p>
            <w:pPr>
              <w:pStyle w:val="null3"/>
            </w:pPr>
            <w:r>
              <w:rPr/>
              <w:t>采购结果公告后，采购人或代理机构通过项目电子化交易系统向中标供应商发出中标通知书；中标供应商通过项目电子化交易系统获取中标通知书。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w:t>
            </w:r>
          </w:p>
        </w:tc>
      </w:tr>
      <w:tr>
        <w:tc>
          <w:tcPr>
            <w:tcW w:type="dxa" w:w="1051"/>
          </w:tcPr>
          <w:p>
            <w:pPr>
              <w:pStyle w:val="null3"/>
            </w:pPr>
            <w:r>
              <w:rPr/>
              <w:t>17</w:t>
            </w:r>
          </w:p>
        </w:tc>
        <w:tc>
          <w:tcPr>
            <w:tcW w:type="dxa" w:w="2252"/>
          </w:tcPr>
          <w:p>
            <w:pPr>
              <w:pStyle w:val="null3"/>
            </w:pPr>
            <w:r>
              <w:rPr/>
              <w:t>是否组织潜在投标人现场考察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成都市公安局高新技术产业开发区分局</w:t>
      </w:r>
      <w:r>
        <w:rPr/>
        <w:t>和</w:t>
      </w:r>
      <w:r>
        <w:rPr/>
        <w:t>四川国际招标有限责任公司</w:t>
      </w:r>
      <w:r>
        <w:rPr/>
        <w:t>享有。对招标文件中供应商参加本次政府采购活动应当具备的条件，招标项目技术、服务、商务及其他要求，评标细则及标准由</w:t>
      </w:r>
      <w:r>
        <w:rPr/>
        <w:t>成都市公安局高新技术产业开发区分局</w:t>
      </w:r>
      <w:r>
        <w:rPr/>
        <w:t>负责解释。除上述招标文件内容，其他内容由</w:t>
      </w:r>
      <w:r>
        <w:rPr/>
        <w:t>四川国际招标有限责任公司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成都市公安局高新技术产业开发区分局</w:t>
      </w:r>
      <w:r>
        <w:rPr/>
        <w:t>。</w:t>
      </w:r>
    </w:p>
    <w:p>
      <w:pPr>
        <w:pStyle w:val="null3"/>
        <w:ind w:firstLine="480"/>
      </w:pPr>
      <w:r>
        <w:rPr/>
        <w:t xml:space="preserve"> 二、“投标人”是指按照采购公告规定获取了招标文件，拟参加投标和向采购人提供货物及相应服务的法人、其他组织或者自然人。</w:t>
      </w:r>
    </w:p>
    <w:p>
      <w:pPr>
        <w:pStyle w:val="null3"/>
        <w:ind w:firstLine="480"/>
      </w:pPr>
      <w:r>
        <w:rPr/>
        <w:t xml:space="preserve"> 三、“代理机构”是指政府采购集中采购机构和从事政府采购代理业务的社会中介机构。本项目的代理机构是</w:t>
      </w:r>
      <w:r>
        <w:rPr/>
        <w:t>四川国际招标有限责任公司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五、“电子评标”是指通过项目电子化交易系统在线完成评标委员会组建，开展资格和符合性审查、比较与评价、出具评标报告、推荐中标候选供应商等活动。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四川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2.4.2计量单位（实质性要求）</w:t>
      </w:r>
    </w:p>
    <w:p>
      <w:pPr>
        <w:pStyle w:val="null3"/>
        <w:ind w:firstLine="480"/>
      </w:pPr>
      <w:r>
        <w:rPr/>
        <w:t>除招标文件中另有规定外，本项目均采用国家法定的计量单位。</w:t>
      </w:r>
    </w:p>
    <w:p>
      <w:pPr>
        <w:pStyle w:val="null3"/>
        <w:outlineLvl w:val="3"/>
      </w:pPr>
      <w:r>
        <w:rPr>
          <w:b/>
          <w:sz w:val="24"/>
        </w:rPr>
        <w:t>2.4.3投标货币（实质性要求）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一、投标文件应当根据招标文件进行编制，投标人应通过四川政府采购网-办事指南下载投标（响应）客户端，使用客户端编制投标文件。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一、本项目为网上开标项目。网上开标的开始时间为投标文件提交截止时间。成功提交或成功提交和解密电子投标文件的投标人不足3家的，不予开标，采购人或代理机构将作废标处理。</w:t>
      </w:r>
    </w:p>
    <w:p>
      <w:pPr>
        <w:pStyle w:val="null3"/>
        <w:ind w:firstLine="480"/>
      </w:pPr>
      <w:r>
        <w:rPr/>
        <w:t>二、开标准备工作</w:t>
      </w:r>
    </w:p>
    <w:p>
      <w:pPr>
        <w:pStyle w:val="null3"/>
      </w:pPr>
    </w:p>
    <w:p>
      <w:pPr>
        <w:pStyle w:val="null3"/>
      </w:pPr>
      <w:r>
        <w:rPr/>
        <w:t xml:space="preserve"> 投标文件开启时间前，供应商登录项目电子化交易系统-“开标/开启大厅”，等待代理机构开标。</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90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一、采购人或者评标委员会确认中标供应商后，代理机构在四川政府采购网发布中标结果公告、通过项目电子化交易系统发出中标通知书，中标供应商通过项目电子化交易系统获取中标通知书。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3</w:t>
      </w:r>
      <w:r>
        <w:rPr/>
        <w:t>日内组织验收</w:t>
      </w:r>
    </w:p>
    <w:p>
      <w:pPr>
        <w:pStyle w:val="null3"/>
        <w:ind w:firstLine="840"/>
      </w:pPr>
      <w:r>
        <w:rPr/>
        <w:t>8）验收组织的其他事项：</w:t>
      </w:r>
      <w:r>
        <w:rPr/>
        <w:t>无</w:t>
      </w:r>
    </w:p>
    <w:p>
      <w:pPr>
        <w:pStyle w:val="null3"/>
        <w:ind w:firstLine="840"/>
      </w:pPr>
      <w:r>
        <w:rPr/>
        <w:t>9）技术履约验收内容：</w:t>
      </w:r>
      <w:r>
        <w:rPr/>
        <w:t>按照招标文件及投标文件进行验收</w:t>
      </w:r>
    </w:p>
    <w:p>
      <w:pPr>
        <w:pStyle w:val="null3"/>
        <w:ind w:firstLine="840"/>
      </w:pPr>
      <w:r>
        <w:rPr/>
        <w:t>10）商务履约验收内容：</w:t>
      </w:r>
      <w:r>
        <w:rPr/>
        <w:t>按照招标文件及投标文件进行验收</w:t>
      </w:r>
    </w:p>
    <w:p>
      <w:pPr>
        <w:pStyle w:val="null3"/>
        <w:ind w:firstLine="840"/>
      </w:pPr>
      <w:r>
        <w:rPr/>
        <w:t>11）履约验收标准：</w:t>
      </w:r>
    </w:p>
    <w:p>
      <w:pPr>
        <w:pStyle w:val="null3"/>
      </w:pPr>
    </w:p>
    <w:p>
      <w:pPr>
        <w:pStyle w:val="null3"/>
        <w:ind w:firstLine="1200"/>
      </w:pPr>
      <w:r>
        <w:rPr/>
        <w:t>根据中标单位整理项目部署情况、平台功能介绍等资料形成验收资料册备验收查阅；由采购人依据监理单位审核通过的项目部署进度情况结论，组织对后台软件、硬件等部署资料等进行系统验收。若达不到验收标准，中标单位必须及时按照专家评审意见进行整改，直到验收合格为止。其他未尽事宜按照《财政部关于进一步加强政府采购需求和履约验收管理的指导意见》（财库〔2016〕205号）要求进行验收。（实质性要求）</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成都市公安局高新技术产业开发区分局</w:t>
      </w:r>
      <w:r>
        <w:rPr/>
        <w:t xml:space="preserve"> 负责答复；供应商对除采购需求外的采购文件的询问、质疑由</w:t>
      </w:r>
      <w:r>
        <w:rPr/>
        <w:t>四川国际招标有限责任公司</w:t>
      </w:r>
      <w:r>
        <w:rPr/>
        <w:t xml:space="preserve"> 负责答复；供应商对采购过程、采购结果的询问、质疑由 </w:t>
      </w:r>
      <w:r>
        <w:rPr/>
        <w:t>四川国际招标有限责任公司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p>
    <w:p>
      <w:pPr>
        <w:pStyle w:val="null3"/>
      </w:pPr>
    </w:p>
    <w:p>
      <w:pPr>
        <w:pStyle w:val="null3"/>
      </w:pPr>
      <w:r>
        <w:rPr/>
        <w:t>答复主体：代理机构</w:t>
      </w:r>
    </w:p>
    <w:p>
      <w:pPr>
        <w:pStyle w:val="null3"/>
      </w:pPr>
      <w:r>
        <w:rPr/>
        <w:t>联系人：质量技术部（分机号820/725）</w:t>
      </w:r>
    </w:p>
    <w:p>
      <w:pPr>
        <w:pStyle w:val="null3"/>
      </w:pPr>
      <w:r>
        <w:rPr/>
        <w:t>联系电话：028-87797776</w:t>
      </w:r>
    </w:p>
    <w:p>
      <w:pPr>
        <w:pStyle w:val="null3"/>
      </w:pPr>
      <w:r>
        <w:rPr/>
        <w:t>地址：中国（四川）自由贸易试验区成都市高新区天府四街66号1栋17层</w:t>
      </w:r>
    </w:p>
    <w:p>
      <w:pPr>
        <w:pStyle w:val="null3"/>
      </w:pPr>
      <w:r>
        <w:rPr/>
        <w:t>邮编：610000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rFonts w:ascii="calibri, sans-serif" w:hAnsi="calibri, sans-serif" w:cs="calibri, sans-serif" w:eastAsia="calibri, sans-serif"/>
          <w:b/>
          <w:color w:val="0000FF"/>
          <w:sz w:val="20"/>
        </w:rPr>
        <w:t>1.</w:t>
      </w:r>
      <w:r>
        <w:rPr>
          <w:rFonts w:ascii="宋体" w:hAnsi="宋体" w:cs="宋体" w:eastAsia="宋体"/>
          <w:b/>
          <w:color w:val="0000FF"/>
          <w:sz w:val="20"/>
        </w:rPr>
        <w:t>项目背景</w:t>
      </w:r>
    </w:p>
    <w:p>
      <w:pPr>
        <w:pStyle w:val="null3"/>
      </w:pPr>
      <w:r>
        <w:rPr>
          <w:rFonts w:ascii="宋体" w:hAnsi="宋体" w:cs="宋体" w:eastAsia="宋体"/>
          <w:b/>
          <w:color w:val="0000FF"/>
          <w:sz w:val="20"/>
        </w:rPr>
        <w:t>“十四五”时期，信息化进入加快数字化发展、建设数字中国的新阶段，移动互联网、物联网、大数据、云计算等技术迅猛发展，社会治理和公共安全防控工作迎来新窗口新机遇。视频图像作为公安大数据的重要组成部分，是实现“智慧公安”的重要抓手和推动引擎，推进视频图像大数据智能化应用的建设是公安科技信息化时代发展的大势所趋。</w:t>
      </w:r>
    </w:p>
    <w:p>
      <w:pPr>
        <w:pStyle w:val="null3"/>
      </w:pPr>
      <w:r>
        <w:rPr>
          <w:rFonts w:ascii="宋体" w:hAnsi="宋体" w:cs="宋体" w:eastAsia="宋体"/>
          <w:b/>
          <w:color w:val="0000FF"/>
          <w:sz w:val="20"/>
        </w:rPr>
        <w:t>近年来，党中央、国务院以及公安部高度重视视频图像信息应用工作，先后密集下发了一系列政策文件，为视频图像信息化建设工作指明了发展方向。公安部陆续印发《关于规范推进公安视频图像智能化应用建设的通知》《公安视频图像智能化建设应用指南》，明确了关于视频图像信息应用系统建设的七项关键任务，同时从视频传输网络、视图数据、智能应用、安全体系、前端布建等五方面提出了建设要求，为视频图像智能化建设和应用明确了从采集、传输、解析、处理、应用、运维全流程的技术架构，旨在推动视频应用从“有用”向“好用”转变，全面提升视频图像服务全警的实战成效。</w:t>
      </w:r>
    </w:p>
    <w:p>
      <w:pPr>
        <w:pStyle w:val="null3"/>
      </w:pPr>
      <w:r>
        <w:rPr>
          <w:rFonts w:ascii="宋体" w:hAnsi="宋体" w:cs="宋体" w:eastAsia="宋体"/>
          <w:b/>
          <w:color w:val="0000FF"/>
          <w:sz w:val="20"/>
        </w:rPr>
        <w:t>经过多年建设，目前高新公安视频图像信息化系统建设已经初具规模，</w:t>
      </w:r>
      <w:r>
        <w:rPr>
          <w:rFonts w:ascii="calibri, sans-serif" w:hAnsi="calibri, sans-serif" w:cs="calibri, sans-serif" w:eastAsia="calibri, sans-serif"/>
          <w:b/>
          <w:color w:val="0000FF"/>
          <w:sz w:val="20"/>
        </w:rPr>
        <w:t>2022</w:t>
      </w:r>
      <w:r>
        <w:rPr>
          <w:rFonts w:ascii="宋体" w:hAnsi="宋体" w:cs="宋体" w:eastAsia="宋体"/>
          <w:b/>
          <w:color w:val="0000FF"/>
          <w:sz w:val="20"/>
        </w:rPr>
        <w:t>年，高新区新建前端视频感知源</w:t>
      </w:r>
      <w:r>
        <w:rPr>
          <w:rFonts w:ascii="calibri, sans-serif" w:hAnsi="calibri, sans-serif" w:cs="calibri, sans-serif" w:eastAsia="calibri, sans-serif"/>
          <w:b/>
          <w:color w:val="0000FF"/>
          <w:sz w:val="20"/>
        </w:rPr>
        <w:t>7882</w:t>
      </w:r>
      <w:r>
        <w:rPr>
          <w:rFonts w:ascii="宋体" w:hAnsi="宋体" w:cs="宋体" w:eastAsia="宋体"/>
          <w:b/>
          <w:color w:val="0000FF"/>
          <w:sz w:val="20"/>
        </w:rPr>
        <w:t>路，基本覆盖了高新区关键部位和重点场所，但是相应匹配的后端存算能力不足，包括视频资源整合不足、视频图像解析能力欠缺、多维数据融合不足、智能应用手段匮乏等，制约了视频图像在支撑治安防控、侦查打击、服务民生等公安业务领域的实战效能。</w:t>
      </w:r>
    </w:p>
    <w:p>
      <w:pPr>
        <w:pStyle w:val="null3"/>
      </w:pPr>
      <w:r>
        <w:rPr>
          <w:rFonts w:ascii="宋体" w:hAnsi="宋体" w:cs="宋体" w:eastAsia="宋体"/>
          <w:b/>
          <w:color w:val="0000FF"/>
          <w:sz w:val="20"/>
        </w:rPr>
        <w:t>本项目为已建设的</w:t>
      </w:r>
      <w:r>
        <w:rPr>
          <w:rFonts w:ascii="calibri, sans-serif" w:hAnsi="calibri, sans-serif" w:cs="calibri, sans-serif" w:eastAsia="calibri, sans-serif"/>
          <w:b/>
          <w:color w:val="0000FF"/>
          <w:sz w:val="20"/>
        </w:rPr>
        <w:t>7882</w:t>
      </w:r>
      <w:r>
        <w:rPr>
          <w:rFonts w:ascii="宋体" w:hAnsi="宋体" w:cs="宋体" w:eastAsia="宋体"/>
          <w:b/>
          <w:color w:val="0000FF"/>
          <w:sz w:val="20"/>
        </w:rPr>
        <w:t>路前端感知源（人脸抓拍摄像机</w:t>
      </w:r>
      <w:r>
        <w:rPr>
          <w:rFonts w:ascii="calibri, sans-serif" w:hAnsi="calibri, sans-serif" w:cs="calibri, sans-serif" w:eastAsia="calibri, sans-serif"/>
          <w:b/>
          <w:color w:val="0000FF"/>
          <w:sz w:val="20"/>
        </w:rPr>
        <w:t>3703</w:t>
      </w:r>
      <w:r>
        <w:rPr>
          <w:rFonts w:ascii="宋体" w:hAnsi="宋体" w:cs="宋体" w:eastAsia="宋体"/>
          <w:b/>
          <w:color w:val="0000FF"/>
          <w:sz w:val="20"/>
        </w:rPr>
        <w:t>路，车辆人脸卡口</w:t>
      </w:r>
      <w:r>
        <w:rPr>
          <w:rFonts w:ascii="calibri, sans-serif" w:hAnsi="calibri, sans-serif" w:cs="calibri, sans-serif" w:eastAsia="calibri, sans-serif"/>
          <w:b/>
          <w:color w:val="0000FF"/>
          <w:sz w:val="20"/>
        </w:rPr>
        <w:t>1369</w:t>
      </w:r>
      <w:r>
        <w:rPr>
          <w:rFonts w:ascii="宋体" w:hAnsi="宋体" w:cs="宋体" w:eastAsia="宋体"/>
          <w:b/>
          <w:color w:val="0000FF"/>
          <w:sz w:val="20"/>
        </w:rPr>
        <w:t>路，全结构化摄像机</w:t>
      </w:r>
      <w:r>
        <w:rPr>
          <w:rFonts w:ascii="calibri, sans-serif" w:hAnsi="calibri, sans-serif" w:cs="calibri, sans-serif" w:eastAsia="calibri, sans-serif"/>
          <w:b/>
          <w:color w:val="0000FF"/>
          <w:sz w:val="20"/>
        </w:rPr>
        <w:t>2752</w:t>
      </w:r>
      <w:r>
        <w:rPr>
          <w:rFonts w:ascii="宋体" w:hAnsi="宋体" w:cs="宋体" w:eastAsia="宋体"/>
          <w:b/>
          <w:color w:val="0000FF"/>
          <w:sz w:val="20"/>
        </w:rPr>
        <w:t>路，高空点位</w:t>
      </w:r>
      <w:r>
        <w:rPr>
          <w:rFonts w:ascii="calibri, sans-serif" w:hAnsi="calibri, sans-serif" w:cs="calibri, sans-serif" w:eastAsia="calibri, sans-serif"/>
          <w:b/>
          <w:color w:val="0000FF"/>
          <w:sz w:val="20"/>
        </w:rPr>
        <w:t>10</w:t>
      </w:r>
      <w:r>
        <w:rPr>
          <w:rFonts w:ascii="宋体" w:hAnsi="宋体" w:cs="宋体" w:eastAsia="宋体"/>
          <w:b/>
          <w:color w:val="0000FF"/>
          <w:sz w:val="20"/>
        </w:rPr>
        <w:t>路，无感采集设备</w:t>
      </w:r>
      <w:r>
        <w:rPr>
          <w:rFonts w:ascii="calibri, sans-serif" w:hAnsi="calibri, sans-serif" w:cs="calibri, sans-serif" w:eastAsia="calibri, sans-serif"/>
          <w:b/>
          <w:color w:val="0000FF"/>
          <w:sz w:val="20"/>
        </w:rPr>
        <w:t>48</w:t>
      </w:r>
      <w:r>
        <w:rPr>
          <w:rFonts w:ascii="宋体" w:hAnsi="宋体" w:cs="宋体" w:eastAsia="宋体"/>
          <w:b/>
          <w:color w:val="0000FF"/>
          <w:sz w:val="20"/>
        </w:rPr>
        <w:t>路</w:t>
      </w:r>
      <w:r>
        <w:rPr>
          <w:rFonts w:ascii="calibri, sans-serif" w:hAnsi="calibri, sans-serif" w:cs="calibri, sans-serif" w:eastAsia="calibri, sans-serif"/>
          <w:b/>
          <w:color w:val="0000FF"/>
          <w:sz w:val="20"/>
        </w:rPr>
        <w:t>)</w:t>
      </w:r>
      <w:r>
        <w:rPr>
          <w:rFonts w:ascii="宋体" w:hAnsi="宋体" w:cs="宋体" w:eastAsia="宋体"/>
          <w:b/>
          <w:color w:val="0000FF"/>
          <w:sz w:val="20"/>
        </w:rPr>
        <w:t>提供视频图像共享平台服务、视频图像解析平台服务、视频图像信息数据库服务、视频图像信息网络安全保障服务。</w:t>
      </w:r>
    </w:p>
    <w:p>
      <w:pPr>
        <w:pStyle w:val="null3"/>
      </w:pPr>
      <w:r>
        <w:rPr>
          <w:rFonts w:ascii="calibri, sans-serif" w:hAnsi="calibri, sans-serif" w:cs="calibri, sans-serif" w:eastAsia="calibri, sans-serif"/>
          <w:b/>
          <w:color w:val="0000FF"/>
          <w:sz w:val="20"/>
        </w:rPr>
        <w:t>2.</w:t>
      </w:r>
      <w:r>
        <w:rPr>
          <w:rFonts w:ascii="宋体" w:hAnsi="宋体" w:cs="宋体" w:eastAsia="宋体"/>
          <w:b/>
          <w:color w:val="0000FF"/>
          <w:sz w:val="20"/>
        </w:rPr>
        <w:t>建设依据</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1</w:t>
      </w:r>
      <w:r>
        <w:rPr>
          <w:rFonts w:ascii="宋体" w:hAnsi="宋体" w:cs="宋体" w:eastAsia="宋体"/>
          <w:b/>
          <w:color w:val="0000FF"/>
          <w:sz w:val="20"/>
        </w:rPr>
        <w:t>）《关于加强社会治安防控体系建设的意见》中共中央办公厅、国务院办公厅，</w:t>
      </w:r>
      <w:r>
        <w:rPr>
          <w:rFonts w:ascii="calibri, sans-serif" w:hAnsi="calibri, sans-serif" w:cs="calibri, sans-serif" w:eastAsia="calibri, sans-serif"/>
          <w:b/>
          <w:color w:val="0000FF"/>
          <w:sz w:val="20"/>
        </w:rPr>
        <w:t>2015</w:t>
      </w:r>
      <w:r>
        <w:rPr>
          <w:rFonts w:ascii="宋体" w:hAnsi="宋体" w:cs="宋体" w:eastAsia="宋体"/>
          <w:b/>
          <w:color w:val="0000FF"/>
          <w:sz w:val="20"/>
        </w:rPr>
        <w:t>年</w:t>
      </w:r>
      <w:r>
        <w:rPr>
          <w:rFonts w:ascii="calibri, sans-serif" w:hAnsi="calibri, sans-serif" w:cs="calibri, sans-serif" w:eastAsia="calibri, sans-serif"/>
          <w:b/>
          <w:color w:val="0000FF"/>
          <w:sz w:val="20"/>
        </w:rPr>
        <w:t>4</w:t>
      </w:r>
      <w:r>
        <w:rPr>
          <w:rFonts w:ascii="宋体" w:hAnsi="宋体" w:cs="宋体" w:eastAsia="宋体"/>
          <w:b/>
          <w:color w:val="0000FF"/>
          <w:sz w:val="20"/>
        </w:rPr>
        <w:t>月</w:t>
      </w:r>
      <w:r>
        <w:rPr>
          <w:rFonts w:ascii="calibri, sans-serif" w:hAnsi="calibri, sans-serif" w:cs="calibri, sans-serif" w:eastAsia="calibri, sans-serif"/>
          <w:b/>
          <w:color w:val="0000FF"/>
          <w:sz w:val="20"/>
        </w:rPr>
        <w:t>13</w:t>
      </w:r>
      <w:r>
        <w:rPr>
          <w:rFonts w:ascii="宋体" w:hAnsi="宋体" w:cs="宋体" w:eastAsia="宋体"/>
          <w:b/>
          <w:color w:val="0000FF"/>
          <w:sz w:val="20"/>
        </w:rPr>
        <w:t>日</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2</w:t>
      </w:r>
      <w:r>
        <w:rPr>
          <w:rFonts w:ascii="宋体" w:hAnsi="宋体" w:cs="宋体" w:eastAsia="宋体"/>
          <w:b/>
          <w:color w:val="0000FF"/>
          <w:sz w:val="20"/>
        </w:rPr>
        <w:t>）《关于加强公共安全视频监控系统联网应用工作的若干意见》（发改高技</w:t>
      </w:r>
      <w:r>
        <w:rPr>
          <w:rFonts w:ascii="calibri, sans-serif" w:hAnsi="calibri, sans-serif" w:cs="calibri, sans-serif" w:eastAsia="calibri, sans-serif"/>
          <w:b/>
          <w:color w:val="0000FF"/>
          <w:sz w:val="20"/>
        </w:rPr>
        <w:t>[2015]996</w:t>
      </w:r>
      <w:r>
        <w:rPr>
          <w:rFonts w:ascii="宋体" w:hAnsi="宋体" w:cs="宋体" w:eastAsia="宋体"/>
          <w:b/>
          <w:color w:val="0000FF"/>
          <w:sz w:val="20"/>
        </w:rPr>
        <w:t>号），发展改革委、中央综治办、科技部、工业和信息化部、公安部、财政部、人力资源社会保障部、住房城乡建设部、交通运输部，</w:t>
      </w:r>
      <w:r>
        <w:rPr>
          <w:rFonts w:ascii="calibri, sans-serif" w:hAnsi="calibri, sans-serif" w:cs="calibri, sans-serif" w:eastAsia="calibri, sans-serif"/>
          <w:b/>
          <w:color w:val="0000FF"/>
          <w:sz w:val="20"/>
        </w:rPr>
        <w:t>2015</w:t>
      </w:r>
      <w:r>
        <w:rPr>
          <w:rFonts w:ascii="宋体" w:hAnsi="宋体" w:cs="宋体" w:eastAsia="宋体"/>
          <w:b/>
          <w:color w:val="0000FF"/>
          <w:sz w:val="20"/>
        </w:rPr>
        <w:t>年</w:t>
      </w:r>
      <w:r>
        <w:rPr>
          <w:rFonts w:ascii="calibri, sans-serif" w:hAnsi="calibri, sans-serif" w:cs="calibri, sans-serif" w:eastAsia="calibri, sans-serif"/>
          <w:b/>
          <w:color w:val="0000FF"/>
          <w:sz w:val="20"/>
        </w:rPr>
        <w:t>5</w:t>
      </w:r>
      <w:r>
        <w:rPr>
          <w:rFonts w:ascii="宋体" w:hAnsi="宋体" w:cs="宋体" w:eastAsia="宋体"/>
          <w:b/>
          <w:color w:val="0000FF"/>
          <w:sz w:val="20"/>
        </w:rPr>
        <w:t>月</w:t>
      </w:r>
      <w:r>
        <w:rPr>
          <w:rFonts w:ascii="calibri, sans-serif" w:hAnsi="calibri, sans-serif" w:cs="calibri, sans-serif" w:eastAsia="calibri, sans-serif"/>
          <w:b/>
          <w:color w:val="0000FF"/>
          <w:sz w:val="20"/>
        </w:rPr>
        <w:t>6</w:t>
      </w:r>
      <w:r>
        <w:rPr>
          <w:rFonts w:ascii="宋体" w:hAnsi="宋体" w:cs="宋体" w:eastAsia="宋体"/>
          <w:b/>
          <w:color w:val="0000FF"/>
          <w:sz w:val="20"/>
        </w:rPr>
        <w:t>日</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3</w:t>
      </w:r>
      <w:r>
        <w:rPr>
          <w:rFonts w:ascii="宋体" w:hAnsi="宋体" w:cs="宋体" w:eastAsia="宋体"/>
          <w:b/>
          <w:color w:val="0000FF"/>
          <w:sz w:val="20"/>
        </w:rPr>
        <w:t>）《新一代人工智能发展规划》（国发〔</w:t>
      </w:r>
      <w:r>
        <w:rPr>
          <w:rFonts w:ascii="calibri, sans-serif" w:hAnsi="calibri, sans-serif" w:cs="calibri, sans-serif" w:eastAsia="calibri, sans-serif"/>
          <w:b/>
          <w:color w:val="0000FF"/>
          <w:sz w:val="20"/>
        </w:rPr>
        <w:t>2017</w:t>
      </w:r>
      <w:r>
        <w:rPr>
          <w:rFonts w:ascii="宋体" w:hAnsi="宋体" w:cs="宋体" w:eastAsia="宋体"/>
          <w:b/>
          <w:color w:val="0000FF"/>
          <w:sz w:val="20"/>
        </w:rPr>
        <w:t>〕</w:t>
      </w:r>
      <w:r>
        <w:rPr>
          <w:rFonts w:ascii="calibri, sans-serif" w:hAnsi="calibri, sans-serif" w:cs="calibri, sans-serif" w:eastAsia="calibri, sans-serif"/>
          <w:b/>
          <w:color w:val="0000FF"/>
          <w:sz w:val="20"/>
        </w:rPr>
        <w:t>35</w:t>
      </w:r>
      <w:r>
        <w:rPr>
          <w:rFonts w:ascii="宋体" w:hAnsi="宋体" w:cs="宋体" w:eastAsia="宋体"/>
          <w:b/>
          <w:color w:val="0000FF"/>
          <w:sz w:val="20"/>
        </w:rPr>
        <w:t>号），国务院，</w:t>
      </w:r>
      <w:r>
        <w:rPr>
          <w:rFonts w:ascii="calibri, sans-serif" w:hAnsi="calibri, sans-serif" w:cs="calibri, sans-serif" w:eastAsia="calibri, sans-serif"/>
          <w:b/>
          <w:color w:val="0000FF"/>
          <w:sz w:val="20"/>
        </w:rPr>
        <w:t>2017</w:t>
      </w:r>
      <w:r>
        <w:rPr>
          <w:rFonts w:ascii="宋体" w:hAnsi="宋体" w:cs="宋体" w:eastAsia="宋体"/>
          <w:b/>
          <w:color w:val="0000FF"/>
          <w:sz w:val="20"/>
        </w:rPr>
        <w:t>年</w:t>
      </w:r>
      <w:r>
        <w:rPr>
          <w:rFonts w:ascii="calibri, sans-serif" w:hAnsi="calibri, sans-serif" w:cs="calibri, sans-serif" w:eastAsia="calibri, sans-serif"/>
          <w:b/>
          <w:color w:val="0000FF"/>
          <w:sz w:val="20"/>
        </w:rPr>
        <w:t>7</w:t>
      </w:r>
      <w:r>
        <w:rPr>
          <w:rFonts w:ascii="宋体" w:hAnsi="宋体" w:cs="宋体" w:eastAsia="宋体"/>
          <w:b/>
          <w:color w:val="0000FF"/>
          <w:sz w:val="20"/>
        </w:rPr>
        <w:t>月</w:t>
      </w:r>
      <w:r>
        <w:rPr>
          <w:rFonts w:ascii="calibri, sans-serif" w:hAnsi="calibri, sans-serif" w:cs="calibri, sans-serif" w:eastAsia="calibri, sans-serif"/>
          <w:b/>
          <w:color w:val="0000FF"/>
          <w:sz w:val="20"/>
        </w:rPr>
        <w:t>8</w:t>
      </w:r>
      <w:r>
        <w:rPr>
          <w:rFonts w:ascii="宋体" w:hAnsi="宋体" w:cs="宋体" w:eastAsia="宋体"/>
          <w:b/>
          <w:color w:val="0000FF"/>
          <w:sz w:val="20"/>
        </w:rPr>
        <w:t>日</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4</w:t>
      </w:r>
      <w:r>
        <w:rPr>
          <w:rFonts w:ascii="宋体" w:hAnsi="宋体" w:cs="宋体" w:eastAsia="宋体"/>
          <w:b/>
          <w:color w:val="0000FF"/>
          <w:sz w:val="20"/>
        </w:rPr>
        <w:t>）《关于规范推进公安视频图像智能化应用建设的通知》（公科信〔</w:t>
      </w:r>
      <w:r>
        <w:rPr>
          <w:rFonts w:ascii="calibri, sans-serif" w:hAnsi="calibri, sans-serif" w:cs="calibri, sans-serif" w:eastAsia="calibri, sans-serif"/>
          <w:b/>
          <w:color w:val="0000FF"/>
          <w:sz w:val="20"/>
        </w:rPr>
        <w:t>2019</w:t>
      </w:r>
      <w:r>
        <w:rPr>
          <w:rFonts w:ascii="宋体" w:hAnsi="宋体" w:cs="宋体" w:eastAsia="宋体"/>
          <w:b/>
          <w:color w:val="0000FF"/>
          <w:sz w:val="20"/>
        </w:rPr>
        <w:t>〕</w:t>
      </w:r>
      <w:r>
        <w:rPr>
          <w:rFonts w:ascii="calibri, sans-serif" w:hAnsi="calibri, sans-serif" w:cs="calibri, sans-serif" w:eastAsia="calibri, sans-serif"/>
          <w:b/>
          <w:color w:val="0000FF"/>
          <w:sz w:val="20"/>
        </w:rPr>
        <w:t>36</w:t>
      </w:r>
      <w:r>
        <w:rPr>
          <w:rFonts w:ascii="宋体" w:hAnsi="宋体" w:cs="宋体" w:eastAsia="宋体"/>
          <w:b/>
          <w:color w:val="0000FF"/>
          <w:sz w:val="20"/>
        </w:rPr>
        <w:t>号），公安部，</w:t>
      </w:r>
      <w:r>
        <w:rPr>
          <w:rFonts w:ascii="calibri, sans-serif" w:hAnsi="calibri, sans-serif" w:cs="calibri, sans-serif" w:eastAsia="calibri, sans-serif"/>
          <w:b/>
          <w:color w:val="0000FF"/>
          <w:sz w:val="20"/>
        </w:rPr>
        <w:t>2019</w:t>
      </w:r>
      <w:r>
        <w:rPr>
          <w:rFonts w:ascii="宋体" w:hAnsi="宋体" w:cs="宋体" w:eastAsia="宋体"/>
          <w:b/>
          <w:color w:val="0000FF"/>
          <w:sz w:val="20"/>
        </w:rPr>
        <w:t>年</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5</w:t>
      </w:r>
      <w:r>
        <w:rPr>
          <w:rFonts w:ascii="宋体" w:hAnsi="宋体" w:cs="宋体" w:eastAsia="宋体"/>
          <w:b/>
          <w:color w:val="0000FF"/>
          <w:sz w:val="20"/>
        </w:rPr>
        <w:t>）《公安视频图像智能化建设应用指南》（公科信〔</w:t>
      </w:r>
      <w:r>
        <w:rPr>
          <w:rFonts w:ascii="calibri, sans-serif" w:hAnsi="calibri, sans-serif" w:cs="calibri, sans-serif" w:eastAsia="calibri, sans-serif"/>
          <w:b/>
          <w:color w:val="0000FF"/>
          <w:sz w:val="20"/>
        </w:rPr>
        <w:t>2020</w:t>
      </w:r>
      <w:r>
        <w:rPr>
          <w:rFonts w:ascii="宋体" w:hAnsi="宋体" w:cs="宋体" w:eastAsia="宋体"/>
          <w:b/>
          <w:color w:val="0000FF"/>
          <w:sz w:val="20"/>
        </w:rPr>
        <w:t>〕</w:t>
      </w:r>
      <w:r>
        <w:rPr>
          <w:rFonts w:ascii="calibri, sans-serif" w:hAnsi="calibri, sans-serif" w:cs="calibri, sans-serif" w:eastAsia="calibri, sans-serif"/>
          <w:b/>
          <w:color w:val="0000FF"/>
          <w:sz w:val="20"/>
        </w:rPr>
        <w:t>48</w:t>
      </w:r>
      <w:r>
        <w:rPr>
          <w:rFonts w:ascii="宋体" w:hAnsi="宋体" w:cs="宋体" w:eastAsia="宋体"/>
          <w:b/>
          <w:color w:val="0000FF"/>
          <w:sz w:val="20"/>
        </w:rPr>
        <w:t>号），公安部科技信息化局，</w:t>
      </w:r>
      <w:r>
        <w:rPr>
          <w:rFonts w:ascii="calibri, sans-serif" w:hAnsi="calibri, sans-serif" w:cs="calibri, sans-serif" w:eastAsia="calibri, sans-serif"/>
          <w:b/>
          <w:color w:val="0000FF"/>
          <w:sz w:val="20"/>
        </w:rPr>
        <w:t>2020</w:t>
      </w:r>
      <w:r>
        <w:rPr>
          <w:rFonts w:ascii="宋体" w:hAnsi="宋体" w:cs="宋体" w:eastAsia="宋体"/>
          <w:b/>
          <w:color w:val="0000FF"/>
          <w:sz w:val="20"/>
        </w:rPr>
        <w:t>年</w:t>
      </w:r>
      <w:r>
        <w:rPr>
          <w:rFonts w:ascii="calibri, sans-serif" w:hAnsi="calibri, sans-serif" w:cs="calibri, sans-serif" w:eastAsia="calibri, sans-serif"/>
          <w:b/>
          <w:color w:val="0000FF"/>
          <w:sz w:val="20"/>
        </w:rPr>
        <w:t>4</w:t>
      </w:r>
      <w:r>
        <w:rPr>
          <w:rFonts w:ascii="宋体" w:hAnsi="宋体" w:cs="宋体" w:eastAsia="宋体"/>
          <w:b/>
          <w:color w:val="0000FF"/>
          <w:sz w:val="20"/>
        </w:rPr>
        <w:t>月</w:t>
      </w:r>
      <w:r>
        <w:rPr>
          <w:rFonts w:ascii="calibri, sans-serif" w:hAnsi="calibri, sans-serif" w:cs="calibri, sans-serif" w:eastAsia="calibri, sans-serif"/>
          <w:b/>
          <w:color w:val="0000FF"/>
          <w:sz w:val="20"/>
        </w:rPr>
        <w:t>20</w:t>
      </w:r>
      <w:r>
        <w:rPr>
          <w:rFonts w:ascii="宋体" w:hAnsi="宋体" w:cs="宋体" w:eastAsia="宋体"/>
          <w:b/>
          <w:color w:val="0000FF"/>
          <w:sz w:val="20"/>
        </w:rPr>
        <w:t>日</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6</w:t>
      </w:r>
      <w:r>
        <w:rPr>
          <w:rFonts w:ascii="宋体" w:hAnsi="宋体" w:cs="宋体" w:eastAsia="宋体"/>
          <w:b/>
          <w:color w:val="0000FF"/>
          <w:sz w:val="20"/>
        </w:rPr>
        <w:t>）《四川省关于加快新型智慧城市建设的指导意见（征求意见稿）》四川省经济和信息化厅办公室，</w:t>
      </w:r>
      <w:r>
        <w:rPr>
          <w:rFonts w:ascii="calibri, sans-serif" w:hAnsi="calibri, sans-serif" w:cs="calibri, sans-serif" w:eastAsia="calibri, sans-serif"/>
          <w:b/>
          <w:color w:val="0000FF"/>
          <w:sz w:val="20"/>
        </w:rPr>
        <w:t>2022</w:t>
      </w:r>
      <w:r>
        <w:rPr>
          <w:rFonts w:ascii="宋体" w:hAnsi="宋体" w:cs="宋体" w:eastAsia="宋体"/>
          <w:b/>
          <w:color w:val="0000FF"/>
          <w:sz w:val="20"/>
        </w:rPr>
        <w:t>年</w:t>
      </w:r>
      <w:r>
        <w:rPr>
          <w:rFonts w:ascii="calibri, sans-serif" w:hAnsi="calibri, sans-serif" w:cs="calibri, sans-serif" w:eastAsia="calibri, sans-serif"/>
          <w:b/>
          <w:color w:val="0000FF"/>
          <w:sz w:val="20"/>
        </w:rPr>
        <w:t>3</w:t>
      </w:r>
      <w:r>
        <w:rPr>
          <w:rFonts w:ascii="宋体" w:hAnsi="宋体" w:cs="宋体" w:eastAsia="宋体"/>
          <w:b/>
          <w:color w:val="0000FF"/>
          <w:sz w:val="20"/>
        </w:rPr>
        <w:t>月</w:t>
      </w:r>
      <w:r>
        <w:rPr>
          <w:rFonts w:ascii="calibri, sans-serif" w:hAnsi="calibri, sans-serif" w:cs="calibri, sans-serif" w:eastAsia="calibri, sans-serif"/>
          <w:b/>
          <w:color w:val="0000FF"/>
          <w:sz w:val="20"/>
        </w:rPr>
        <w:t>7</w:t>
      </w:r>
      <w:r>
        <w:rPr>
          <w:rFonts w:ascii="宋体" w:hAnsi="宋体" w:cs="宋体" w:eastAsia="宋体"/>
          <w:b/>
          <w:color w:val="0000FF"/>
          <w:sz w:val="20"/>
        </w:rPr>
        <w:t>日</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7</w:t>
      </w:r>
      <w:r>
        <w:rPr>
          <w:rFonts w:ascii="宋体" w:hAnsi="宋体" w:cs="宋体" w:eastAsia="宋体"/>
          <w:b/>
          <w:color w:val="0000FF"/>
          <w:sz w:val="20"/>
        </w:rPr>
        <w:t>）《成都市新型基础设施建设行动方案（</w:t>
      </w:r>
      <w:r>
        <w:rPr>
          <w:rFonts w:ascii="calibri, sans-serif" w:hAnsi="calibri, sans-serif" w:cs="calibri, sans-serif" w:eastAsia="calibri, sans-serif"/>
          <w:b/>
          <w:color w:val="0000FF"/>
          <w:sz w:val="20"/>
        </w:rPr>
        <w:t>2020-2022</w:t>
      </w:r>
      <w:r>
        <w:rPr>
          <w:rFonts w:ascii="宋体" w:hAnsi="宋体" w:cs="宋体" w:eastAsia="宋体"/>
          <w:b/>
          <w:color w:val="0000FF"/>
          <w:sz w:val="20"/>
        </w:rPr>
        <w:t>年）》成都市人民政府办公厅，</w:t>
      </w:r>
      <w:r>
        <w:rPr>
          <w:rFonts w:ascii="calibri, sans-serif" w:hAnsi="calibri, sans-serif" w:cs="calibri, sans-serif" w:eastAsia="calibri, sans-serif"/>
          <w:b/>
          <w:color w:val="0000FF"/>
          <w:sz w:val="20"/>
        </w:rPr>
        <w:t>2020</w:t>
      </w:r>
      <w:r>
        <w:rPr>
          <w:rFonts w:ascii="宋体" w:hAnsi="宋体" w:cs="宋体" w:eastAsia="宋体"/>
          <w:b/>
          <w:color w:val="0000FF"/>
          <w:sz w:val="20"/>
        </w:rPr>
        <w:t>年</w:t>
      </w:r>
      <w:r>
        <w:rPr>
          <w:rFonts w:ascii="calibri, sans-serif" w:hAnsi="calibri, sans-serif" w:cs="calibri, sans-serif" w:eastAsia="calibri, sans-serif"/>
          <w:b/>
          <w:color w:val="0000FF"/>
          <w:sz w:val="20"/>
        </w:rPr>
        <w:t>7</w:t>
      </w:r>
      <w:r>
        <w:rPr>
          <w:rFonts w:ascii="宋体" w:hAnsi="宋体" w:cs="宋体" w:eastAsia="宋体"/>
          <w:b/>
          <w:color w:val="0000FF"/>
          <w:sz w:val="20"/>
        </w:rPr>
        <w:t>月</w:t>
      </w:r>
      <w:r>
        <w:rPr>
          <w:rFonts w:ascii="calibri, sans-serif" w:hAnsi="calibri, sans-serif" w:cs="calibri, sans-serif" w:eastAsia="calibri, sans-serif"/>
          <w:b/>
          <w:color w:val="0000FF"/>
          <w:sz w:val="20"/>
        </w:rPr>
        <w:t>7</w:t>
      </w:r>
      <w:r>
        <w:rPr>
          <w:rFonts w:ascii="宋体" w:hAnsi="宋体" w:cs="宋体" w:eastAsia="宋体"/>
          <w:b/>
          <w:color w:val="0000FF"/>
          <w:sz w:val="20"/>
        </w:rPr>
        <w:t>日</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8</w:t>
      </w:r>
      <w:r>
        <w:rPr>
          <w:rFonts w:ascii="宋体" w:hAnsi="宋体" w:cs="宋体" w:eastAsia="宋体"/>
          <w:b/>
          <w:color w:val="0000FF"/>
          <w:sz w:val="20"/>
        </w:rPr>
        <w:t>）《成都市智慧城市建设行动方案（</w:t>
      </w:r>
      <w:r>
        <w:rPr>
          <w:rFonts w:ascii="calibri, sans-serif" w:hAnsi="calibri, sans-serif" w:cs="calibri, sans-serif" w:eastAsia="calibri, sans-serif"/>
          <w:b/>
          <w:color w:val="0000FF"/>
          <w:sz w:val="20"/>
        </w:rPr>
        <w:t>2020-2022</w:t>
      </w:r>
      <w:r>
        <w:rPr>
          <w:rFonts w:ascii="宋体" w:hAnsi="宋体" w:cs="宋体" w:eastAsia="宋体"/>
          <w:b/>
          <w:color w:val="0000FF"/>
          <w:sz w:val="20"/>
        </w:rPr>
        <w:t>）》成都市人民政府，</w:t>
      </w:r>
      <w:r>
        <w:rPr>
          <w:rFonts w:ascii="calibri, sans-serif" w:hAnsi="calibri, sans-serif" w:cs="calibri, sans-serif" w:eastAsia="calibri, sans-serif"/>
          <w:b/>
          <w:color w:val="0000FF"/>
          <w:sz w:val="20"/>
        </w:rPr>
        <w:t>2020</w:t>
      </w:r>
      <w:r>
        <w:rPr>
          <w:rFonts w:ascii="宋体" w:hAnsi="宋体" w:cs="宋体" w:eastAsia="宋体"/>
          <w:b/>
          <w:color w:val="0000FF"/>
          <w:sz w:val="20"/>
        </w:rPr>
        <w:t>年</w:t>
      </w:r>
      <w:r>
        <w:rPr>
          <w:rFonts w:ascii="calibri, sans-serif" w:hAnsi="calibri, sans-serif" w:cs="calibri, sans-serif" w:eastAsia="calibri, sans-serif"/>
          <w:b/>
          <w:color w:val="0000FF"/>
          <w:sz w:val="20"/>
        </w:rPr>
        <w:t>10</w:t>
      </w:r>
      <w:r>
        <w:rPr>
          <w:rFonts w:ascii="宋体" w:hAnsi="宋体" w:cs="宋体" w:eastAsia="宋体"/>
          <w:b/>
          <w:color w:val="0000FF"/>
          <w:sz w:val="20"/>
        </w:rPr>
        <w:t>月</w:t>
      </w:r>
      <w:r>
        <w:rPr>
          <w:rFonts w:ascii="calibri, sans-serif" w:hAnsi="calibri, sans-serif" w:cs="calibri, sans-serif" w:eastAsia="calibri, sans-serif"/>
          <w:b/>
          <w:color w:val="0000FF"/>
          <w:sz w:val="20"/>
        </w:rPr>
        <w:t>13</w:t>
      </w:r>
      <w:r>
        <w:rPr>
          <w:rFonts w:ascii="宋体" w:hAnsi="宋体" w:cs="宋体" w:eastAsia="宋体"/>
          <w:b/>
          <w:color w:val="0000FF"/>
          <w:sz w:val="20"/>
        </w:rPr>
        <w:t>日</w:t>
      </w:r>
    </w:p>
    <w:p>
      <w:pPr>
        <w:pStyle w:val="null3"/>
      </w:pPr>
      <w:r>
        <w:rPr>
          <w:rFonts w:ascii="宋体" w:hAnsi="宋体" w:cs="宋体" w:eastAsia="宋体"/>
          <w:b/>
          <w:color w:val="0000FF"/>
          <w:sz w:val="20"/>
        </w:rPr>
        <w:t>（</w:t>
      </w:r>
      <w:r>
        <w:rPr>
          <w:rFonts w:ascii="calibri, sans-serif" w:hAnsi="calibri, sans-serif" w:cs="calibri, sans-serif" w:eastAsia="calibri, sans-serif"/>
          <w:b/>
          <w:color w:val="0000FF"/>
          <w:sz w:val="20"/>
        </w:rPr>
        <w:t>9</w:t>
      </w:r>
      <w:r>
        <w:rPr>
          <w:rFonts w:ascii="宋体" w:hAnsi="宋体" w:cs="宋体" w:eastAsia="宋体"/>
          <w:b/>
          <w:color w:val="0000FF"/>
          <w:sz w:val="20"/>
        </w:rPr>
        <w:t>）《成都市公安局多维感知网建设技术导则（</w:t>
      </w:r>
      <w:r>
        <w:rPr>
          <w:rFonts w:ascii="calibri, sans-serif" w:hAnsi="calibri, sans-serif" w:cs="calibri, sans-serif" w:eastAsia="calibri, sans-serif"/>
          <w:b/>
          <w:color w:val="0000FF"/>
          <w:sz w:val="20"/>
        </w:rPr>
        <w:t>V2.0</w:t>
      </w:r>
      <w:r>
        <w:rPr>
          <w:rFonts w:ascii="宋体" w:hAnsi="宋体" w:cs="宋体" w:eastAsia="宋体"/>
          <w:b/>
          <w:color w:val="0000FF"/>
          <w:sz w:val="20"/>
        </w:rPr>
        <w:t>）》成都市公安局，</w:t>
      </w:r>
      <w:r>
        <w:rPr>
          <w:rFonts w:ascii="calibri, sans-serif" w:hAnsi="calibri, sans-serif" w:cs="calibri, sans-serif" w:eastAsia="calibri, sans-serif"/>
          <w:b/>
          <w:color w:val="0000FF"/>
          <w:sz w:val="20"/>
        </w:rPr>
        <w:t>2022</w:t>
      </w:r>
      <w:r>
        <w:rPr>
          <w:rFonts w:ascii="宋体" w:hAnsi="宋体" w:cs="宋体" w:eastAsia="宋体"/>
          <w:b/>
          <w:color w:val="0000FF"/>
          <w:sz w:val="20"/>
        </w:rPr>
        <w:t>年</w:t>
      </w:r>
    </w:p>
    <w:p>
      <w:pPr>
        <w:pStyle w:val="null3"/>
      </w:pPr>
      <w:r>
        <w:rPr>
          <w:rFonts w:ascii="calibri, sans-serif" w:hAnsi="calibri, sans-serif" w:cs="calibri, sans-serif" w:eastAsia="calibri, sans-serif"/>
          <w:b/>
          <w:color w:val="0000FF"/>
          <w:sz w:val="20"/>
        </w:rPr>
        <w:t>3.</w:t>
      </w:r>
      <w:r>
        <w:rPr>
          <w:rFonts w:ascii="宋体" w:hAnsi="宋体" w:cs="宋体" w:eastAsia="宋体"/>
          <w:b/>
          <w:color w:val="0000FF"/>
          <w:sz w:val="20"/>
        </w:rPr>
        <w:t>建设目标</w:t>
      </w:r>
    </w:p>
    <w:p>
      <w:pPr>
        <w:pStyle w:val="null3"/>
      </w:pPr>
      <w:r>
        <w:rPr>
          <w:rFonts w:ascii="宋体" w:hAnsi="宋体" w:cs="宋体" w:eastAsia="宋体"/>
          <w:b/>
          <w:color w:val="0000FF"/>
          <w:sz w:val="20"/>
        </w:rPr>
        <w:t>按照成都市高新区智慧公安的战略部署，依托独立的物理机房、存算资源及网络环境，根据业务需求按需部署后端服务资源。以发现关注对象为重点，通过视频图像共享平台服务、视频图像解析平台服务、视频图像信息数据库服务、视频图像信息网络安全保障服务，并根据前端点位规模配置后端所需的软硬件资源，将感知源的采集、探知功能发挥出来，做到进入高新能够预警、走出高新能够感知、重点</w:t>
      </w:r>
      <w:r>
        <w:rPr>
          <w:rFonts w:ascii="calibri, sans-serif" w:hAnsi="calibri, sans-serif" w:cs="calibri, sans-serif" w:eastAsia="calibri, sans-serif"/>
          <w:b/>
          <w:color w:val="0000FF"/>
          <w:sz w:val="20"/>
        </w:rPr>
        <w:t>RY</w:t>
      </w:r>
      <w:r>
        <w:rPr>
          <w:rFonts w:ascii="宋体" w:hAnsi="宋体" w:cs="宋体" w:eastAsia="宋体"/>
          <w:b/>
          <w:color w:val="0000FF"/>
          <w:sz w:val="20"/>
        </w:rPr>
        <w:t>身份能落地、重点车辆能寻迹，整个感知源应用体系围绕“打、防、管、控”实战需求开展建设，从预警到处置，全流程为实战业务部门提供指导和支撑，做到“一个感知源，就是一名警力”，大幅提高效率，逐步实现“科技兴警”的战略目标。</w:t>
      </w:r>
    </w:p>
    <w:p>
      <w:pPr>
        <w:pStyle w:val="null3"/>
      </w:pPr>
      <w:r>
        <w:rPr>
          <w:rFonts w:ascii="calibri, sans-serif" w:hAnsi="calibri, sans-serif" w:cs="calibri, sans-serif" w:eastAsia="calibri, sans-serif"/>
          <w:b/>
          <w:color w:val="0000FF"/>
          <w:sz w:val="20"/>
        </w:rPr>
        <w:t>4.</w:t>
      </w:r>
      <w:r>
        <w:rPr>
          <w:rFonts w:ascii="宋体" w:hAnsi="宋体" w:cs="宋体" w:eastAsia="宋体"/>
          <w:b/>
          <w:color w:val="0000FF"/>
          <w:sz w:val="20"/>
        </w:rPr>
        <w:t>服务内容</w:t>
      </w:r>
    </w:p>
    <w:p>
      <w:pPr>
        <w:pStyle w:val="null3"/>
        <w:jc w:val="both"/>
      </w:pPr>
      <w:r>
        <w:rPr>
          <w:rFonts w:ascii="宋体" w:hAnsi="宋体" w:cs="宋体" w:eastAsia="宋体"/>
          <w:b/>
          <w:color w:val="0000FF"/>
          <w:sz w:val="20"/>
        </w:rPr>
        <w:t>本项目为租赁服务，租赁服务期自项目验收通过</w:t>
      </w:r>
      <w:r>
        <w:rPr>
          <w:rFonts w:ascii="宋体" w:hAnsi="宋体" w:cs="宋体" w:eastAsia="宋体"/>
          <w:b/>
          <w:color w:val="0000FF"/>
          <w:sz w:val="20"/>
        </w:rPr>
        <w:t>之日</w:t>
      </w:r>
      <w:r>
        <w:rPr>
          <w:rFonts w:ascii="宋体" w:hAnsi="宋体" w:cs="宋体" w:eastAsia="宋体"/>
          <w:b/>
          <w:color w:val="0000FF"/>
          <w:sz w:val="20"/>
        </w:rPr>
        <w:t>起</w:t>
      </w:r>
      <w:r>
        <w:rPr>
          <w:rFonts w:ascii="calibri, sans-serif" w:hAnsi="calibri, sans-serif" w:cs="calibri, sans-serif" w:eastAsia="calibri, sans-serif"/>
          <w:b/>
          <w:color w:val="0000FF"/>
          <w:sz w:val="20"/>
        </w:rPr>
        <w:t>3</w:t>
      </w:r>
      <w:r>
        <w:rPr>
          <w:rFonts w:ascii="宋体" w:hAnsi="宋体" w:cs="宋体" w:eastAsia="宋体"/>
          <w:b/>
          <w:color w:val="0000FF"/>
          <w:sz w:val="20"/>
        </w:rPr>
        <w:t>年。</w:t>
      </w:r>
      <w:r>
        <w:rPr>
          <w:rFonts w:ascii="宋体" w:hAnsi="宋体" w:cs="宋体" w:eastAsia="宋体"/>
          <w:b/>
          <w:color w:val="0000FF"/>
          <w:sz w:val="21"/>
        </w:rPr>
        <w:t>具体服务内容如下：</w:t>
      </w:r>
    </w:p>
    <w:p>
      <w:pPr>
        <w:pStyle w:val="null3"/>
      </w:pPr>
      <w:r>
        <w:rPr>
          <w:rFonts w:ascii="calibri, sans-serif" w:hAnsi="calibri, sans-serif" w:cs="calibri, sans-serif" w:eastAsia="calibri, sans-serif"/>
          <w:b/>
          <w:color w:val="0000FF"/>
          <w:sz w:val="20"/>
        </w:rPr>
        <w:t>1.</w:t>
      </w:r>
      <w:r>
        <w:rPr>
          <w:rFonts w:ascii="宋体" w:hAnsi="宋体" w:cs="宋体" w:eastAsia="宋体"/>
          <w:b/>
          <w:color w:val="0000FF"/>
          <w:sz w:val="20"/>
        </w:rPr>
        <w:t>视频图像共享平台服务（以下简称共享平台）</w:t>
      </w:r>
      <w:r>
        <w:rPr>
          <w:rFonts w:ascii="calibri, sans-serif" w:hAnsi="calibri, sans-serif" w:cs="calibri, sans-serif" w:eastAsia="calibri, sans-serif"/>
          <w:b/>
          <w:color w:val="0000FF"/>
          <w:sz w:val="20"/>
        </w:rPr>
        <w:t>:</w:t>
      </w:r>
      <w:r>
        <w:rPr>
          <w:rFonts w:ascii="宋体" w:hAnsi="宋体" w:cs="宋体" w:eastAsia="宋体"/>
          <w:b/>
          <w:color w:val="0000FF"/>
          <w:sz w:val="20"/>
        </w:rPr>
        <w:t>本期项目支撑接入</w:t>
      </w:r>
      <w:r>
        <w:rPr>
          <w:rFonts w:ascii="calibri, sans-serif" w:hAnsi="calibri, sans-serif" w:cs="calibri, sans-serif" w:eastAsia="calibri, sans-serif"/>
          <w:b/>
          <w:color w:val="0000FF"/>
          <w:sz w:val="20"/>
        </w:rPr>
        <w:t>7882</w:t>
      </w:r>
      <w:r>
        <w:rPr>
          <w:rFonts w:ascii="宋体" w:hAnsi="宋体" w:cs="宋体" w:eastAsia="宋体"/>
          <w:b/>
          <w:color w:val="0000FF"/>
          <w:sz w:val="20"/>
        </w:rPr>
        <w:t>路前端感知源，并对其中</w:t>
      </w:r>
      <w:r>
        <w:rPr>
          <w:rFonts w:ascii="calibri, sans-serif" w:hAnsi="calibri, sans-serif" w:cs="calibri, sans-serif" w:eastAsia="calibri, sans-serif"/>
          <w:b/>
          <w:color w:val="0000FF"/>
          <w:sz w:val="20"/>
        </w:rPr>
        <w:t>6465</w:t>
      </w:r>
      <w:r>
        <w:rPr>
          <w:rFonts w:ascii="宋体" w:hAnsi="宋体" w:cs="宋体" w:eastAsia="宋体"/>
          <w:b/>
          <w:color w:val="0000FF"/>
          <w:sz w:val="20"/>
        </w:rPr>
        <w:t>路前端感知源进行视频存储，以</w:t>
      </w:r>
      <w:r>
        <w:rPr>
          <w:rFonts w:ascii="calibri, sans-serif" w:hAnsi="calibri, sans-serif" w:cs="calibri, sans-serif" w:eastAsia="calibri, sans-serif"/>
          <w:b/>
          <w:color w:val="0000FF"/>
          <w:sz w:val="20"/>
        </w:rPr>
        <w:t>GB/T 28181</w:t>
      </w:r>
      <w:r>
        <w:rPr>
          <w:rFonts w:ascii="宋体" w:hAnsi="宋体" w:cs="宋体" w:eastAsia="宋体"/>
          <w:b/>
          <w:color w:val="0000FF"/>
          <w:sz w:val="20"/>
        </w:rPr>
        <w:t>为联网标准、以视频监控资源整合、共享为主，提供视频监控综合管理服务。视频图像共享平台基础软件由成都市公安局统一采购部署，本项目只涉及视频存储管理软件，中标单位应充分考虑采购人需求，配置所需的硬件资源。服务期间，根据采购人需求提供技术支撑。</w:t>
      </w:r>
    </w:p>
    <w:p>
      <w:pPr>
        <w:pStyle w:val="null3"/>
      </w:pPr>
      <w:r>
        <w:rPr>
          <w:rFonts w:ascii="宋体" w:hAnsi="宋体" w:cs="宋体" w:eastAsia="宋体"/>
          <w:b/>
          <w:color w:val="0000FF"/>
          <w:sz w:val="20"/>
        </w:rPr>
        <w:t>视频存储时间不低于</w:t>
      </w:r>
      <w:r>
        <w:rPr>
          <w:rFonts w:ascii="calibri, sans-serif" w:hAnsi="calibri, sans-serif" w:cs="calibri, sans-serif" w:eastAsia="calibri, sans-serif"/>
          <w:b/>
          <w:color w:val="0000FF"/>
          <w:sz w:val="20"/>
        </w:rPr>
        <w:t>31</w:t>
      </w:r>
      <w:r>
        <w:rPr>
          <w:rFonts w:ascii="宋体" w:hAnsi="宋体" w:cs="宋体" w:eastAsia="宋体"/>
          <w:b/>
          <w:color w:val="0000FF"/>
          <w:sz w:val="20"/>
        </w:rPr>
        <w:t>天。</w:t>
      </w:r>
    </w:p>
    <w:p>
      <w:pPr>
        <w:pStyle w:val="null3"/>
      </w:pPr>
      <w:r>
        <w:rPr>
          <w:rFonts w:ascii="calibri, sans-serif" w:hAnsi="calibri, sans-serif" w:cs="calibri, sans-serif" w:eastAsia="calibri, sans-serif"/>
          <w:b/>
          <w:color w:val="0000FF"/>
          <w:sz w:val="20"/>
        </w:rPr>
        <w:t>2.</w:t>
      </w:r>
      <w:r>
        <w:rPr>
          <w:rFonts w:ascii="宋体" w:hAnsi="宋体" w:cs="宋体" w:eastAsia="宋体"/>
          <w:b/>
          <w:color w:val="0000FF"/>
          <w:sz w:val="20"/>
        </w:rPr>
        <w:t>视频图像解析平台服务（以下简称解析平台）</w:t>
      </w:r>
      <w:r>
        <w:rPr>
          <w:rFonts w:ascii="calibri, sans-serif" w:hAnsi="calibri, sans-serif" w:cs="calibri, sans-serif" w:eastAsia="calibri, sans-serif"/>
          <w:b/>
          <w:color w:val="0000FF"/>
          <w:sz w:val="20"/>
        </w:rPr>
        <w:t>:</w:t>
      </w:r>
      <w:r>
        <w:rPr>
          <w:rFonts w:ascii="宋体" w:hAnsi="宋体" w:cs="宋体" w:eastAsia="宋体"/>
          <w:b/>
          <w:color w:val="0000FF"/>
          <w:sz w:val="20"/>
        </w:rPr>
        <w:t>本期项目支撑</w:t>
      </w:r>
      <w:r>
        <w:rPr>
          <w:rFonts w:ascii="calibri, sans-serif" w:hAnsi="calibri, sans-serif" w:cs="calibri, sans-serif" w:eastAsia="calibri, sans-serif"/>
          <w:b/>
          <w:color w:val="0000FF"/>
          <w:sz w:val="20"/>
        </w:rPr>
        <w:t>7834</w:t>
      </w:r>
      <w:r>
        <w:rPr>
          <w:rFonts w:ascii="宋体" w:hAnsi="宋体" w:cs="宋体" w:eastAsia="宋体"/>
          <w:b/>
          <w:color w:val="0000FF"/>
          <w:sz w:val="20"/>
        </w:rPr>
        <w:t>路图片解析和</w:t>
      </w:r>
      <w:r>
        <w:rPr>
          <w:rFonts w:ascii="calibri, sans-serif" w:hAnsi="calibri, sans-serif" w:cs="calibri, sans-serif" w:eastAsia="calibri, sans-serif"/>
          <w:b/>
          <w:color w:val="0000FF"/>
          <w:sz w:val="20"/>
        </w:rPr>
        <w:t>2000</w:t>
      </w:r>
      <w:r>
        <w:rPr>
          <w:rFonts w:ascii="宋体" w:hAnsi="宋体" w:cs="宋体" w:eastAsia="宋体"/>
          <w:b/>
          <w:color w:val="0000FF"/>
          <w:sz w:val="20"/>
        </w:rPr>
        <w:t>路视频解析（</w:t>
      </w:r>
      <w:r>
        <w:rPr>
          <w:rFonts w:ascii="calibri, sans-serif" w:hAnsi="calibri, sans-serif" w:cs="calibri, sans-serif" w:eastAsia="calibri, sans-serif"/>
          <w:b/>
          <w:color w:val="0000FF"/>
          <w:sz w:val="20"/>
        </w:rPr>
        <w:t>500</w:t>
      </w:r>
      <w:r>
        <w:rPr>
          <w:rFonts w:ascii="宋体" w:hAnsi="宋体" w:cs="宋体" w:eastAsia="宋体"/>
          <w:b/>
          <w:color w:val="0000FF"/>
          <w:sz w:val="20"/>
        </w:rPr>
        <w:t>路视频流全结构化解析、</w:t>
      </w:r>
      <w:r>
        <w:rPr>
          <w:rFonts w:ascii="calibri, sans-serif" w:hAnsi="calibri, sans-serif" w:cs="calibri, sans-serif" w:eastAsia="calibri, sans-serif"/>
          <w:b/>
          <w:color w:val="0000FF"/>
          <w:sz w:val="20"/>
        </w:rPr>
        <w:t>1500</w:t>
      </w:r>
      <w:r>
        <w:rPr>
          <w:rFonts w:ascii="宋体" w:hAnsi="宋体" w:cs="宋体" w:eastAsia="宋体"/>
          <w:b/>
          <w:color w:val="0000FF"/>
          <w:sz w:val="20"/>
        </w:rPr>
        <w:t>路视频流场景事件解析）。对视频和图像进行分析及处理，识别视频和图像的内容，快速发现和定位关注信息，支撑打击破案、治安防控、流调溯源等场景应用。视频图像解析算法包括视频结构化、车辆二次识别、</w:t>
      </w:r>
      <w:r>
        <w:rPr>
          <w:rFonts w:ascii="calibri, sans-serif" w:hAnsi="calibri, sans-serif" w:cs="calibri, sans-serif" w:eastAsia="calibri, sans-serif"/>
          <w:b/>
          <w:color w:val="0000FF"/>
          <w:sz w:val="20"/>
        </w:rPr>
        <w:t>RENLIAN</w:t>
      </w:r>
      <w:r>
        <w:rPr>
          <w:rFonts w:ascii="宋体" w:hAnsi="宋体" w:cs="宋体" w:eastAsia="宋体"/>
          <w:b/>
          <w:color w:val="0000FF"/>
          <w:sz w:val="20"/>
        </w:rPr>
        <w:t>识别、人体识别、非机动车识别、以图搜图、聚档聚类等算法。依据《公安视频图像智能化建设应用指南》，结合解析平台数据和其他数据，拓展特色化视频图像实战应用（如智能机器人应用、公安地图平台应用、情指勤舆督应用、智慧安防社区应用、智能舆情应用、移动警务</w:t>
      </w:r>
      <w:r>
        <w:rPr>
          <w:rFonts w:ascii="calibri, sans-serif" w:hAnsi="calibri, sans-serif" w:cs="calibri, sans-serif" w:eastAsia="calibri, sans-serif"/>
          <w:b/>
          <w:color w:val="0000FF"/>
          <w:sz w:val="20"/>
        </w:rPr>
        <w:t>APP</w:t>
      </w:r>
      <w:r>
        <w:rPr>
          <w:rFonts w:ascii="宋体" w:hAnsi="宋体" w:cs="宋体" w:eastAsia="宋体"/>
          <w:b/>
          <w:color w:val="0000FF"/>
          <w:sz w:val="20"/>
        </w:rPr>
        <w:t>、云警务室、业务中枢、</w:t>
      </w:r>
      <w:r>
        <w:rPr>
          <w:rFonts w:ascii="宋体" w:hAnsi="宋体" w:cs="宋体" w:eastAsia="宋体"/>
          <w:b/>
          <w:color w:val="0000FF"/>
          <w:sz w:val="20"/>
        </w:rPr>
        <w:t>数据库平台</w:t>
      </w:r>
      <w:r>
        <w:rPr>
          <w:rFonts w:ascii="宋体" w:hAnsi="宋体" w:cs="宋体" w:eastAsia="宋体"/>
          <w:b/>
          <w:color w:val="0000FF"/>
          <w:sz w:val="20"/>
        </w:rPr>
        <w:t>等），充分发挥视频图像数据价值，中标单位应充分考虑采购人需求，配置所需的硬件资源。服务期间，根据采购人需求提供技术支撑。</w:t>
      </w:r>
    </w:p>
    <w:p>
      <w:pPr>
        <w:pStyle w:val="null3"/>
      </w:pPr>
      <w:r>
        <w:rPr>
          <w:rFonts w:ascii="calibri, sans-serif" w:hAnsi="calibri, sans-serif" w:cs="calibri, sans-serif" w:eastAsia="calibri, sans-serif"/>
          <w:b/>
          <w:color w:val="0000FF"/>
          <w:sz w:val="20"/>
        </w:rPr>
        <w:t>3.</w:t>
      </w:r>
      <w:r>
        <w:rPr>
          <w:rFonts w:ascii="宋体" w:hAnsi="宋体" w:cs="宋体" w:eastAsia="宋体"/>
          <w:b/>
          <w:color w:val="0000FF"/>
          <w:sz w:val="20"/>
        </w:rPr>
        <w:t>视频图像信息数据库服务（以下简称视图库）：本期项目支撑前端</w:t>
      </w:r>
      <w:r>
        <w:rPr>
          <w:rFonts w:ascii="calibri, sans-serif" w:hAnsi="calibri, sans-serif" w:cs="calibri, sans-serif" w:eastAsia="calibri, sans-serif"/>
          <w:b/>
          <w:color w:val="0000FF"/>
          <w:sz w:val="20"/>
        </w:rPr>
        <w:t>7882</w:t>
      </w:r>
      <w:r>
        <w:rPr>
          <w:rFonts w:ascii="宋体" w:hAnsi="宋体" w:cs="宋体" w:eastAsia="宋体"/>
          <w:b/>
          <w:color w:val="0000FF"/>
          <w:sz w:val="20"/>
        </w:rPr>
        <w:t>路的视频图像信息数据库服务，并接收视频图像解析平台</w:t>
      </w:r>
      <w:r>
        <w:rPr>
          <w:rFonts w:ascii="calibri, sans-serif" w:hAnsi="calibri, sans-serif" w:cs="calibri, sans-serif" w:eastAsia="calibri, sans-serif"/>
          <w:b/>
          <w:color w:val="0000FF"/>
          <w:sz w:val="20"/>
        </w:rPr>
        <w:t>500</w:t>
      </w:r>
      <w:r>
        <w:rPr>
          <w:rFonts w:ascii="宋体" w:hAnsi="宋体" w:cs="宋体" w:eastAsia="宋体"/>
          <w:b/>
          <w:color w:val="0000FF"/>
          <w:sz w:val="20"/>
        </w:rPr>
        <w:t>路视频流全结构化解析数据，支撑公安视频图像信息应用的相关基础服务功能，将前端感知源产生的抓拍数据（包含人脸、人体、车辆、非机动车大小图及结构化信息）通过</w:t>
      </w:r>
      <w:r>
        <w:rPr>
          <w:rFonts w:ascii="calibri, sans-serif" w:hAnsi="calibri, sans-serif" w:cs="calibri, sans-serif" w:eastAsia="calibri, sans-serif"/>
          <w:b/>
          <w:color w:val="0000FF"/>
          <w:sz w:val="20"/>
        </w:rPr>
        <w:t>GA/T 1400</w:t>
      </w:r>
      <w:r>
        <w:rPr>
          <w:rFonts w:ascii="宋体" w:hAnsi="宋体" w:cs="宋体" w:eastAsia="宋体"/>
          <w:b/>
          <w:color w:val="0000FF"/>
          <w:sz w:val="20"/>
        </w:rPr>
        <w:t>标准接入视图库实现全量存储；同时满足</w:t>
      </w:r>
      <w:r>
        <w:rPr>
          <w:rFonts w:ascii="calibri, sans-serif" w:hAnsi="calibri, sans-serif" w:cs="calibri, sans-serif" w:eastAsia="calibri, sans-serif"/>
          <w:b/>
          <w:color w:val="0000FF"/>
          <w:sz w:val="20"/>
        </w:rPr>
        <w:t>GA/T 1400</w:t>
      </w:r>
      <w:r>
        <w:rPr>
          <w:rFonts w:ascii="宋体" w:hAnsi="宋体" w:cs="宋体" w:eastAsia="宋体"/>
          <w:b/>
          <w:color w:val="0000FF"/>
          <w:sz w:val="20"/>
        </w:rPr>
        <w:t>标准要求的级联接口实现与市局视图库的对接，实时上传高新区汇聚的图片流数据，包括人脸特征小图及结构化信息（含人脸场景图</w:t>
      </w:r>
      <w:r>
        <w:rPr>
          <w:rFonts w:ascii="calibri, sans-serif" w:hAnsi="calibri, sans-serif" w:cs="calibri, sans-serif" w:eastAsia="calibri, sans-serif"/>
          <w:b/>
          <w:color w:val="0000FF"/>
          <w:sz w:val="20"/>
        </w:rPr>
        <w:t>URL</w:t>
      </w:r>
      <w:r>
        <w:rPr>
          <w:rFonts w:ascii="宋体" w:hAnsi="宋体" w:cs="宋体" w:eastAsia="宋体"/>
          <w:b/>
          <w:color w:val="0000FF"/>
          <w:sz w:val="20"/>
        </w:rPr>
        <w:t>）、车辆结构化信息（含车辆场景图</w:t>
      </w:r>
      <w:r>
        <w:rPr>
          <w:rFonts w:ascii="calibri, sans-serif" w:hAnsi="calibri, sans-serif" w:cs="calibri, sans-serif" w:eastAsia="calibri, sans-serif"/>
          <w:b/>
          <w:color w:val="0000FF"/>
          <w:sz w:val="20"/>
        </w:rPr>
        <w:t>URL</w:t>
      </w:r>
      <w:r>
        <w:rPr>
          <w:rFonts w:ascii="宋体" w:hAnsi="宋体" w:cs="宋体" w:eastAsia="宋体"/>
          <w:b/>
          <w:color w:val="0000FF"/>
          <w:sz w:val="20"/>
        </w:rPr>
        <w:t>），中标单位应充分考虑采购人需求，配置所需的硬件资源。服务期间，根据采购人需求提供技术支撑。</w:t>
      </w:r>
    </w:p>
    <w:p>
      <w:pPr>
        <w:pStyle w:val="null3"/>
      </w:pPr>
      <w:r>
        <w:rPr>
          <w:rFonts w:ascii="宋体" w:hAnsi="宋体" w:cs="宋体" w:eastAsia="宋体"/>
          <w:b/>
          <w:color w:val="0000FF"/>
          <w:sz w:val="20"/>
        </w:rPr>
        <w:t>前端感知源产生的抓拍图片（包含人脸特征小图、人脸场景图和车辆场景图）存储时间不低于</w:t>
      </w:r>
      <w:r>
        <w:rPr>
          <w:rFonts w:ascii="calibri, sans-serif" w:hAnsi="calibri, sans-serif" w:cs="calibri, sans-serif" w:eastAsia="calibri, sans-serif"/>
          <w:b/>
          <w:color w:val="0000FF"/>
          <w:sz w:val="20"/>
        </w:rPr>
        <w:t>180</w:t>
      </w:r>
      <w:r>
        <w:rPr>
          <w:rFonts w:ascii="宋体" w:hAnsi="宋体" w:cs="宋体" w:eastAsia="宋体"/>
          <w:b/>
          <w:color w:val="0000FF"/>
          <w:sz w:val="20"/>
        </w:rPr>
        <w:t>天，前端感知源产生的结构化数据（包含人脸结构化数据和车辆结构化数据）存储时间不低于</w:t>
      </w:r>
      <w:r>
        <w:rPr>
          <w:rFonts w:ascii="calibri, sans-serif" w:hAnsi="calibri, sans-serif" w:cs="calibri, sans-serif" w:eastAsia="calibri, sans-serif"/>
          <w:b/>
          <w:color w:val="0000FF"/>
          <w:sz w:val="20"/>
        </w:rPr>
        <w:t>365</w:t>
      </w:r>
      <w:r>
        <w:rPr>
          <w:rFonts w:ascii="宋体" w:hAnsi="宋体" w:cs="宋体" w:eastAsia="宋体"/>
          <w:b/>
          <w:color w:val="0000FF"/>
          <w:sz w:val="20"/>
        </w:rPr>
        <w:t>天。</w:t>
      </w:r>
    </w:p>
    <w:p>
      <w:pPr>
        <w:pStyle w:val="null3"/>
      </w:pPr>
      <w:r>
        <w:rPr>
          <w:rFonts w:ascii="calibri, sans-serif" w:hAnsi="calibri, sans-serif" w:cs="calibri, sans-serif" w:eastAsia="calibri, sans-serif"/>
          <w:b/>
          <w:color w:val="0000FF"/>
          <w:sz w:val="20"/>
        </w:rPr>
        <w:t xml:space="preserve">4.     </w:t>
      </w:r>
      <w:r>
        <w:rPr>
          <w:rFonts w:ascii="宋体" w:hAnsi="宋体" w:cs="宋体" w:eastAsia="宋体"/>
          <w:b/>
          <w:color w:val="0000FF"/>
          <w:sz w:val="20"/>
        </w:rPr>
        <w:t>视频图像信息网络安全保障服务：以支撑视频图像智能化应用安全为目标，以保护视频图像数据资源为核心，从“前端、网络、平台、数据、应用、终端、边界、管理”多维度构建“安全、可信、合规”全方位、一体化的高新智慧公安安全保障体系。中标单位应充分考虑采购人需求，配置所需的硬件资源。服务期间，根据采购人需求提供技术支撑。</w:t>
      </w:r>
    </w:p>
    <w:p>
      <w:pPr>
        <w:pStyle w:val="null3"/>
      </w:pPr>
      <w:r>
        <w:rPr>
          <w:rFonts w:ascii="calibri, sans-serif" w:hAnsi="calibri, sans-serif" w:cs="calibri, sans-serif" w:eastAsia="calibri, sans-serif"/>
          <w:b/>
          <w:color w:val="0000FF"/>
          <w:sz w:val="20"/>
        </w:rPr>
        <w:t xml:space="preserve">(1)    </w:t>
      </w:r>
      <w:r>
        <w:rPr>
          <w:rFonts w:ascii="宋体" w:hAnsi="宋体" w:cs="宋体" w:eastAsia="宋体"/>
          <w:b/>
          <w:color w:val="0000FF"/>
          <w:sz w:val="20"/>
        </w:rPr>
        <w:t>公安视频专网及公安信息网安全保障服务</w:t>
      </w:r>
    </w:p>
    <w:p>
      <w:pPr>
        <w:pStyle w:val="null3"/>
      </w:pPr>
      <w:r>
        <w:rPr>
          <w:rFonts w:ascii="宋体" w:hAnsi="宋体" w:cs="宋体" w:eastAsia="宋体"/>
          <w:b/>
          <w:color w:val="0000FF"/>
          <w:sz w:val="20"/>
        </w:rPr>
        <w:t>本项目涉及公安视频专网和公安信息网的安全防护，根据《中华人民共和国网络安全法》、《中华人民共和国密码法》、《信息系统安全等级保护实施指南》、《网络安全等级保护条例》、《信息系统密码应用基本要求》和《公安视频图像信息系统安全技术要求》等相关要求，在网络安全方面，以网络安全等级保护为基础框架和公安视频图像信息系统安全技术要求为依据和参考，在满足国家法律法规和标准体系的前提下通过“一中心三防护”的安全设计，形成网络安全综合防护体系；在密码安全方面，提升使用密码保障网络与信息安全的水平；采取保护措施保障数据和信息在收集、存储、传输、使用、提供、销毁过程中的安全；保障重要数据的完整性、保密性和可用性，全面支撑以各类公共安全视频图像信息及其他智能感知信息资源为基础的视频大数据应用，为公安大数据智能化应用建设提供坚实的安全保障。</w:t>
      </w:r>
    </w:p>
    <w:p>
      <w:pPr>
        <w:pStyle w:val="null3"/>
      </w:pPr>
      <w:r>
        <w:rPr>
          <w:rFonts w:ascii="calibri, sans-serif" w:hAnsi="calibri, sans-serif" w:cs="calibri, sans-serif" w:eastAsia="calibri, sans-serif"/>
          <w:b/>
          <w:color w:val="0000FF"/>
          <w:sz w:val="20"/>
        </w:rPr>
        <w:t xml:space="preserve">(2)    </w:t>
      </w:r>
      <w:r>
        <w:rPr>
          <w:rFonts w:ascii="宋体" w:hAnsi="宋体" w:cs="宋体" w:eastAsia="宋体"/>
          <w:b/>
          <w:color w:val="0000FF"/>
          <w:sz w:val="20"/>
        </w:rPr>
        <w:t>安全边界及终端安全服务</w:t>
      </w:r>
    </w:p>
    <w:p>
      <w:pPr>
        <w:pStyle w:val="null3"/>
      </w:pPr>
      <w:r>
        <w:rPr>
          <w:rFonts w:ascii="宋体" w:hAnsi="宋体" w:cs="宋体" w:eastAsia="宋体"/>
          <w:b/>
          <w:color w:val="0000FF"/>
          <w:sz w:val="20"/>
        </w:rPr>
        <w:t>按照“统一接入渠道、统一共享策略、统一运行管理”的原则，提供电子政务外网边界交互平台，将同级的社会视频资源接入平台与视频图像信息共享平台对接，实现依托电子政务外网或其它专网传输的视频图像资源向视频专网汇聚，将电子政务网的各业务系统与公安视频传输网的业务系统对接，实现所需业务数据双向安全互通，实现各部门、各单位视频图像资源和数据资源的安全共享与交换；提供公安视频专网接入公安信息网边界接入平台，实现视频专网视频资源、数据资源接入公安网，从而保障各网络的安全运行和可靠服务，保障公共安全重点区域视频图像信息的有效采集、安全传输和共享交换。</w:t>
      </w:r>
    </w:p>
    <w:p>
      <w:pPr>
        <w:pStyle w:val="null3"/>
      </w:pPr>
      <w:r>
        <w:rPr>
          <w:rFonts w:ascii="宋体" w:hAnsi="宋体" w:cs="宋体" w:eastAsia="宋体"/>
          <w:b/>
          <w:color w:val="0000FF"/>
          <w:sz w:val="20"/>
        </w:rPr>
        <w:t>按照国家《信息安全技术终端接入控制产品安全技术要求》、《新一代公安信息网网络架构技术要求》和《新一代公安信息网终端管控系统系统技术要求》，建设终端控制网络边界，实现高新区公安网络违规事件自动防御。</w:t>
      </w:r>
    </w:p>
    <w:p>
      <w:pPr>
        <w:pStyle w:val="null3"/>
      </w:pPr>
      <w:r>
        <w:rPr>
          <w:rFonts w:ascii="calibri, sans-serif" w:hAnsi="calibri, sans-serif" w:cs="calibri, sans-serif" w:eastAsia="calibri, sans-serif"/>
          <w:b/>
          <w:color w:val="0000FF"/>
          <w:sz w:val="20"/>
        </w:rPr>
        <w:t xml:space="preserve">(3)    </w:t>
      </w:r>
      <w:r>
        <w:rPr>
          <w:rFonts w:ascii="宋体" w:hAnsi="宋体" w:cs="宋体" w:eastAsia="宋体"/>
          <w:b/>
          <w:color w:val="0000FF"/>
          <w:sz w:val="20"/>
        </w:rPr>
        <w:t>机房及链路服务</w:t>
      </w:r>
    </w:p>
    <w:p>
      <w:pPr>
        <w:pStyle w:val="null3"/>
      </w:pPr>
      <w:r>
        <w:rPr>
          <w:rFonts w:ascii="宋体" w:hAnsi="宋体" w:cs="宋体" w:eastAsia="宋体"/>
          <w:b/>
          <w:color w:val="0000FF"/>
          <w:sz w:val="20"/>
        </w:rPr>
        <w:t>本项目相关软、硬件要求部署在独立的物理机房，机房整体需满足</w:t>
      </w:r>
      <w:r>
        <w:rPr>
          <w:rFonts w:ascii="calibri, sans-serif" w:hAnsi="calibri, sans-serif" w:cs="calibri, sans-serif" w:eastAsia="calibri, sans-serif"/>
          <w:b/>
          <w:color w:val="0000FF"/>
          <w:sz w:val="20"/>
        </w:rPr>
        <w:t>GB50174-2017 A</w:t>
      </w:r>
      <w:r>
        <w:rPr>
          <w:rFonts w:ascii="宋体" w:hAnsi="宋体" w:cs="宋体" w:eastAsia="宋体"/>
          <w:b/>
          <w:color w:val="0000FF"/>
          <w:sz w:val="20"/>
        </w:rPr>
        <w:t>级标准要求，满足抗震、防火和防水要求，满足高可靠性要求；机房须配备低压配电系统、</w:t>
      </w:r>
      <w:r>
        <w:rPr>
          <w:rFonts w:ascii="calibri, sans-serif" w:hAnsi="calibri, sans-serif" w:cs="calibri, sans-serif" w:eastAsia="calibri, sans-serif"/>
          <w:b/>
          <w:color w:val="0000FF"/>
          <w:sz w:val="20"/>
        </w:rPr>
        <w:t>UPS</w:t>
      </w:r>
      <w:r>
        <w:rPr>
          <w:rFonts w:ascii="宋体" w:hAnsi="宋体" w:cs="宋体" w:eastAsia="宋体"/>
          <w:b/>
          <w:color w:val="0000FF"/>
          <w:sz w:val="20"/>
        </w:rPr>
        <w:t>不间断电源、柴油发电机系统、照明系统、防雷接地系统，配套的室外油机平台及埋地油罐，满足机房设备用电需求。</w:t>
      </w:r>
    </w:p>
    <w:p>
      <w:pPr>
        <w:pStyle w:val="null3"/>
      </w:pPr>
      <w:r>
        <w:rPr>
          <w:rFonts w:ascii="宋体" w:hAnsi="宋体" w:cs="宋体" w:eastAsia="宋体"/>
          <w:b/>
          <w:color w:val="0000FF"/>
          <w:sz w:val="20"/>
        </w:rPr>
        <w:t>本项目需提供感知源前端汇聚端口至本项目后台接入端口链路服务，总带宽不低于</w:t>
      </w:r>
      <w:r>
        <w:rPr>
          <w:rFonts w:ascii="calibri, sans-serif" w:hAnsi="calibri, sans-serif" w:cs="calibri, sans-serif" w:eastAsia="calibri, sans-serif"/>
          <w:b/>
          <w:color w:val="0000FF"/>
          <w:sz w:val="20"/>
        </w:rPr>
        <w:t>90G</w:t>
      </w:r>
      <w:r>
        <w:rPr>
          <w:rFonts w:ascii="宋体" w:hAnsi="宋体" w:cs="宋体" w:eastAsia="宋体"/>
          <w:b/>
          <w:color w:val="0000FF"/>
          <w:sz w:val="20"/>
        </w:rPr>
        <w:t>，并满足业务需求；需提供物理机房至分局数据中心公安视频专网链路服务，一主一备，每条带宽不低于</w:t>
      </w:r>
      <w:r>
        <w:rPr>
          <w:rFonts w:ascii="calibri, sans-serif" w:hAnsi="calibri, sans-serif" w:cs="calibri, sans-serif" w:eastAsia="calibri, sans-serif"/>
          <w:b/>
          <w:color w:val="0000FF"/>
          <w:sz w:val="20"/>
        </w:rPr>
        <w:t>10G</w:t>
      </w:r>
      <w:r>
        <w:rPr>
          <w:rFonts w:ascii="宋体" w:hAnsi="宋体" w:cs="宋体" w:eastAsia="宋体"/>
          <w:b/>
          <w:color w:val="0000FF"/>
          <w:sz w:val="20"/>
        </w:rPr>
        <w:t>，并满足业务需求。在服务期内，保障服务范围内的视频、图像数据接入稳定流畅。</w:t>
      </w:r>
    </w:p>
    <w:p>
      <w:pPr>
        <w:pStyle w:val="null3"/>
      </w:pPr>
      <w:r>
        <w:rPr>
          <w:rFonts w:ascii="宋体" w:hAnsi="宋体" w:cs="宋体" w:eastAsia="宋体"/>
          <w:b/>
          <w:color w:val="0000FF"/>
          <w:sz w:val="20"/>
        </w:rPr>
        <w:t>中标单位应充分考虑采购人需求，配置所需的网络设备。</w:t>
      </w:r>
    </w:p>
    <w:p>
      <w:pPr>
        <w:pStyle w:val="null3"/>
      </w:pPr>
      <w:r>
        <w:rPr>
          <w:rFonts w:ascii="calibri, sans-serif" w:hAnsi="calibri, sans-serif" w:cs="calibri, sans-serif" w:eastAsia="calibri, sans-serif"/>
          <w:b/>
          <w:color w:val="0000FF"/>
          <w:sz w:val="20"/>
        </w:rPr>
        <w:t xml:space="preserve">(4)    </w:t>
      </w:r>
      <w:r>
        <w:rPr>
          <w:rFonts w:ascii="宋体" w:hAnsi="宋体" w:cs="宋体" w:eastAsia="宋体"/>
          <w:b/>
          <w:color w:val="0000FF"/>
          <w:sz w:val="20"/>
        </w:rPr>
        <w:t>安全运维服务</w:t>
      </w:r>
    </w:p>
    <w:p>
      <w:pPr>
        <w:pStyle w:val="null3"/>
      </w:pPr>
      <w:r>
        <w:rPr>
          <w:rFonts w:ascii="宋体" w:hAnsi="宋体" w:cs="宋体" w:eastAsia="宋体"/>
          <w:b/>
          <w:color w:val="0000FF"/>
          <w:sz w:val="21"/>
        </w:rPr>
        <w:t>提供安全运营服务，包括但不限于安全咨询服务、安全评估服务、应急演练服务、应急响应服务、安全巡检服务、重要时期保障服务、安全培训等。</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31,818,900.00</w:t>
      </w:r>
    </w:p>
    <w:p>
      <w:pPr>
        <w:pStyle w:val="null3"/>
      </w:pPr>
      <w:r>
        <w:rPr/>
        <w:t>采购包最高限价（元）: 31,818,900.00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感知源后端建设服务</w:t>
            </w:r>
          </w:p>
        </w:tc>
        <w:tc>
          <w:tcPr>
            <w:tcW w:type="dxa" w:w="848"/>
          </w:tcPr>
          <w:p>
            <w:pPr>
              <w:pStyle w:val="null3"/>
              <w:jc w:val="right"/>
            </w:pPr>
            <w:r>
              <w:rPr/>
              <w:t>1.00</w:t>
            </w:r>
          </w:p>
        </w:tc>
        <w:tc>
          <w:tcPr>
            <w:tcW w:type="dxa" w:w="1356"/>
          </w:tcPr>
          <w:p>
            <w:pPr>
              <w:pStyle w:val="null3"/>
              <w:jc w:val="right"/>
            </w:pPr>
            <w:r>
              <w:rPr/>
              <w:t>31,818,900.00</w:t>
            </w:r>
          </w:p>
        </w:tc>
        <w:tc>
          <w:tcPr>
            <w:tcW w:type="dxa" w:w="678"/>
          </w:tcPr>
          <w:p>
            <w:pPr>
              <w:pStyle w:val="null3"/>
            </w:pPr>
            <w:r>
              <w:rPr/>
              <w:t>项</w:t>
            </w:r>
          </w:p>
        </w:tc>
        <w:tc>
          <w:tcPr>
            <w:tcW w:type="dxa" w:w="678"/>
          </w:tcPr>
          <w:p>
            <w:pPr>
              <w:pStyle w:val="null3"/>
            </w:pPr>
            <w:r>
              <w:rPr/>
              <w:t>软件和信息技术服务业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标的名称：感知源后端建设服务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具体详见“附件-技术参数及要求”。</w:t>
            </w: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★投标人应具有针对本项目的实施队伍，人数不低于20人。</w:t>
      </w:r>
    </w:p>
    <w:p>
      <w:pPr>
        <w:pStyle w:val="null3"/>
        <w:outlineLvl w:val="3"/>
      </w:pPr>
      <w:r>
        <w:rPr>
          <w:b/>
          <w:sz w:val="24"/>
        </w:rPr>
        <w:t>3.2.4设施设备配置要求</w:t>
      </w:r>
    </w:p>
    <w:p>
      <w:pPr>
        <w:pStyle w:val="null3"/>
      </w:pPr>
    </w:p>
    <w:p>
      <w:pPr>
        <w:pStyle w:val="null3"/>
      </w:pPr>
    </w:p>
    <w:p>
      <w:pPr>
        <w:pStyle w:val="null3"/>
      </w:pPr>
    </w:p>
    <w:p>
      <w:pPr>
        <w:pStyle w:val="null3"/>
      </w:pPr>
      <w:r>
        <w:rPr/>
        <w:t>采购包1：</w:t>
      </w:r>
    </w:p>
    <w:p>
      <w:pPr>
        <w:pStyle w:val="null3"/>
      </w:pPr>
      <w:r>
        <w:rPr/>
        <w:t>/</w:t>
      </w:r>
    </w:p>
    <w:p>
      <w:pPr>
        <w:pStyle w:val="null3"/>
        <w:outlineLvl w:val="3"/>
      </w:pPr>
      <w:r>
        <w:rPr>
          <w:b/>
          <w:sz w:val="24"/>
        </w:rPr>
        <w:t>3.2.5其他要求</w:t>
      </w:r>
    </w:p>
    <w:p>
      <w:pPr>
        <w:pStyle w:val="null3"/>
      </w:pPr>
    </w:p>
    <w:p>
      <w:pPr>
        <w:pStyle w:val="null3"/>
      </w:pPr>
    </w:p>
    <w:p>
      <w:pPr>
        <w:pStyle w:val="null3"/>
      </w:pP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自合同签订之日起365日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★成都市高新区.</w:t>
      </w:r>
    </w:p>
    <w:p>
      <w:pPr>
        <w:pStyle w:val="null3"/>
        <w:outlineLvl w:val="3"/>
      </w:pPr>
      <w:r>
        <w:rPr>
          <w:b/>
          <w:sz w:val="24"/>
        </w:rPr>
        <w:t>3.3.3考核（验收）标准和方法</w:t>
      </w:r>
    </w:p>
    <w:p>
      <w:pPr>
        <w:pStyle w:val="null3"/>
      </w:pPr>
    </w:p>
    <w:p>
      <w:pPr>
        <w:pStyle w:val="null3"/>
      </w:pPr>
    </w:p>
    <w:p>
      <w:pPr>
        <w:pStyle w:val="null3"/>
      </w:pPr>
    </w:p>
    <w:p>
      <w:pPr>
        <w:pStyle w:val="null3"/>
      </w:pPr>
      <w:r>
        <w:rPr/>
        <w:t>采购包1：</w:t>
      </w:r>
    </w:p>
    <w:p>
      <w:pPr>
        <w:pStyle w:val="null3"/>
      </w:pPr>
      <w:r>
        <w:rPr/>
        <w:t>★1）验收组织方式：自行验收 2）是否邀请本项目的其他供应商：否 3）是否邀请专家：否 4）是否邀请服务对象：否 5）是否邀请第三方检测机构：否 6）履约验收程序：一次性验收 7）履约验收时间： 供应商提出验收申请之日起3日内组织验收 8）验收组织的其他事项：无 9）技术履约验收内容：按照招标文件及投标文件进行验收 10）商务履约验收内容：按照招标文件及投标文件进行验收 11）履约验收标准： 根据中标单位整理项目部署情况、平台功能介绍等资料形成验收资料册备验收查阅；由采购人依据监理单位审核通过的项目部署进度情况结论，组织对后台软件、硬件等部署资料等进行系统验收。若达不到验收标准，中标单位必须及时按照专家评审意见进行整改，直到验收合格为止。其他未尽事宜按照《财政部关于进一步加强政府采购需求和履约验收管理的指导意见》（财库〔2016〕205号）要求进行验收。 12）履约验收其他事项：无</w:t>
      </w:r>
    </w:p>
    <w:p>
      <w:pPr>
        <w:pStyle w:val="null3"/>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项目合同签订后，采购人支付791.67万元作为预付款，采购人收到供应商提供的有效等额票据凭证资料后20日内支付。</w:t>
      </w:r>
      <w:r>
        <w:rPr/>
        <w:t xml:space="preserve"> ，达到付款条件起 </w:t>
      </w:r>
      <w:r>
        <w:rPr/>
        <w:t>15</w:t>
      </w:r>
      <w:r>
        <w:rPr/>
        <w:t xml:space="preserve"> 日内，支付合同总金额的 </w:t>
      </w:r>
      <w:r>
        <w:rPr/>
        <w:t>25.00</w:t>
      </w:r>
      <w:r>
        <w:rPr/>
        <w:t>%。</w:t>
      </w:r>
    </w:p>
    <w:p>
      <w:pPr>
        <w:pStyle w:val="null3"/>
      </w:pPr>
      <w:r>
        <w:rPr/>
        <w:t>采购包1：</w:t>
      </w:r>
      <w:r>
        <w:rPr/>
        <w:t xml:space="preserve"> 付款条件说明： </w:t>
      </w:r>
      <w:r>
        <w:rPr/>
        <w:t>项目验收合格后，后续项目服务期内，按验收合格次季度（3个月后）开始按季支付租赁服务费，并结合上一个季度考核情况，据实支付。 支付比例为：每季应结算金额=项目总费用÷租赁期（季度）-上季度考核扣费。中标人须向采购人出具合法有效完整的完税发票及凭证资料进行支付结算。采购人自收到中标人发票后15个工作日内( 中标人为中小企业的10个工作日内)向供应商支付合同款</w:t>
      </w:r>
      <w:r>
        <w:rPr/>
        <w:t xml:space="preserve"> ，达到付款条件起 </w:t>
      </w:r>
      <w:r>
        <w:rPr/>
        <w:t>15</w:t>
      </w:r>
      <w:r>
        <w:rPr/>
        <w:t xml:space="preserve"> 日内，支付合同总金额的 </w:t>
      </w:r>
      <w:r>
        <w:rPr/>
        <w:t>75.00</w:t>
      </w:r>
      <w:r>
        <w:rPr/>
        <w:t>%。</w:t>
      </w:r>
    </w:p>
    <w:p>
      <w:pPr>
        <w:pStyle w:val="null3"/>
        <w:outlineLvl w:val="3"/>
      </w:pPr>
      <w:r>
        <w:rPr>
          <w:b/>
          <w:sz w:val="24"/>
        </w:rPr>
        <w:t>3.3.6违约责任与解决争议的方法</w:t>
      </w:r>
    </w:p>
    <w:p>
      <w:pPr>
        <w:pStyle w:val="null3"/>
      </w:pPr>
    </w:p>
    <w:p>
      <w:pPr>
        <w:pStyle w:val="null3"/>
      </w:pPr>
    </w:p>
    <w:p>
      <w:pPr>
        <w:pStyle w:val="null3"/>
      </w:pPr>
    </w:p>
    <w:p>
      <w:pPr>
        <w:pStyle w:val="null3"/>
      </w:pPr>
      <w:r>
        <w:rPr/>
        <w:t>采购包1：</w:t>
      </w:r>
    </w:p>
    <w:p>
      <w:pPr>
        <w:pStyle w:val="null3"/>
      </w:pPr>
      <w:r>
        <w:rPr/>
        <w:t>★（一）采购人违约责任 (1）在中标单位严格按照本合同约定履行其全部义务的前提下，如采购人单方终止合同，由采购人承担相应的责任，除支付全部合同款项外，按合同总金额的 5%向中标单位支付违约金。中标单位由此遭受任何损失超过违约金的，采购人应承担相应赔偿责任。 (2）因采购人工作人员的疏忽或故意的错误行为而造成的中标单位损失，采购人应负责赔偿。 中标单位违约责任 (1）在采购人严格按照本合同约定履行其义务的前提下，如中标单位单方面擅自终止合同，中标单位应退还采购人支付中标单位的全部合同款，并按合同总金额的 5%向采购人支付违约金。采购人由此遭受任何损失超过违约金的，中标单位应承担相应赔偿责任。 (2）如中标单位违反本合同约定不能提供符合采购人要求的设备、软件或服务，采购人有权通知中标单位限期补救，如中标单位未能在采购人通知的期限内纠正其违约行为并提供采购人满意的服务，视为中标单位不能履行，采购人有权通知中标单位解除本合同，中标单位应按合同总金额的5%向采购人支付违约金。若采购人由此遭受任何损失超过违约金的，中标单位应承担相应赔偿责任。 (3）因中标单位工作人员的疏忽或故意的错误行为而造成的采购人损失，中标单位应负责赔偿。 (4）如中标单位未按合同约定履行保密义务或未对相关系统、设备拥有合法的知识产权而致采购人被任意第三方追索的，采购人有权解除合同，中标单位应按合同总金额的 5％承担违约责任。 （二）解决争议的方式 (1）因质量问题发生争议，由质量技术监督部门或其指定的质量鉴定机构进行质量鉴定。符合标准的，鉴定费由采购人承担；不符合质量标准的，鉴定费由中标人承担。 (2）合同履行期间，若双方发生争议，可协商或由有关部门调解解决，协商或调解不成的，由当事人依法维护其合法权益。</w:t>
      </w:r>
    </w:p>
    <w:p>
      <w:pPr>
        <w:pStyle w:val="null3"/>
        <w:jc w:val="left"/>
        <w:outlineLvl w:val="2"/>
      </w:pPr>
      <w:r>
        <w:rPr>
          <w:b/>
          <w:sz w:val="28"/>
        </w:rPr>
        <w:t>3.4其他要求</w:t>
      </w:r>
    </w:p>
    <w:p>
      <w:pPr>
        <w:pStyle w:val="null3"/>
      </w:pPr>
    </w:p>
    <w:p>
      <w:pPr>
        <w:pStyle w:val="null3"/>
      </w:pPr>
    </w:p>
    <w:p>
      <w:pPr>
        <w:pStyle w:val="null3"/>
      </w:pPr>
      <w:r>
        <w:rPr/>
        <w:t>具体详见“附件-其他要求”。</w:t>
      </w:r>
    </w:p>
    <w:p>
      <w:pPr>
        <w:pStyle w:val="null3"/>
      </w:pPr>
    </w:p>
    <w:p>
      <w:pPr>
        <w:pStyle w:val="null3"/>
      </w:pPr>
      <w:r>
        <w:rPr/>
        <w:t xml:space="preserve"> </w:t>
      </w:r>
    </w:p>
    <w:p>
      <w:pPr>
        <w:pStyle w:val="null3"/>
        <w:jc w:val="center"/>
        <w:outlineLvl w:val="1"/>
      </w:pPr>
      <w:r>
        <w:rPr>
          <w:b/>
          <w:sz w:val="36"/>
        </w:rPr>
        <w:t>第四章 资格审查</w:t>
      </w:r>
    </w:p>
    <w:p>
      <w:pPr>
        <w:pStyle w:val="null3"/>
      </w:pPr>
    </w:p>
    <w:p>
      <w:pPr>
        <w:pStyle w:val="null3"/>
      </w:pPr>
    </w:p>
    <w:p>
      <w:pPr>
        <w:pStyle w:val="null3"/>
        <w:ind w:firstLine="480"/>
      </w:pPr>
      <w:r>
        <w:rPr/>
        <w:t xml:space="preserve"> 资格审查由</w:t>
      </w:r>
      <w:r>
        <w:rPr/>
        <w:t>成都市公安局高新技术产业开发区分局</w:t>
      </w:r>
      <w:r>
        <w:rPr/>
        <w:t>组建的资格审查小组依据法律法规和招标文件的规定，对投标文件中的资格证明等进行审查，以确定投标人是否具备投标资格，并出具资格审查报告。</w:t>
      </w:r>
    </w:p>
    <w:p>
      <w:pPr>
        <w:pStyle w:val="null3"/>
        <w:outlineLvl w:val="2"/>
      </w:pPr>
      <w:r>
        <w:rPr>
          <w:b/>
          <w:sz w:val="28"/>
        </w:rPr>
        <w:t>4.1一般资格审查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2"/>
      </w:pPr>
      <w:r>
        <w:rPr>
          <w:b/>
          <w:sz w:val="28"/>
        </w:rPr>
        <w:t>4.2特殊资格审查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b/>
          <w:sz w:val="28"/>
        </w:rPr>
        <w:t>4.3落实政府采购政策资格审查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p>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一、本项目评标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p>
    <w:p>
      <w:pPr>
        <w:pStyle w:val="null3"/>
      </w:pP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四川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t>开标一览表 分项报价表</w:t>
            </w:r>
          </w:p>
        </w:tc>
      </w:tr>
      <w:tr>
        <w:tc>
          <w:tcPr>
            <w:tcW w:type="dxa" w:w="831"/>
          </w:tcPr>
          <w:p>
            <w:pPr>
              <w:pStyle w:val="null3"/>
            </w:pPr>
            <w:r>
              <w:rPr/>
              <w:t>2</w:t>
            </w:r>
          </w:p>
        </w:tc>
        <w:tc>
          <w:tcPr>
            <w:tcW w:type="dxa" w:w="2492"/>
          </w:tcPr>
          <w:p>
            <w:pPr>
              <w:pStyle w:val="null3"/>
            </w:pPr>
            <w:r>
              <w:rPr/>
              <w:t>符合采购文件的实质性要求</w:t>
            </w:r>
          </w:p>
        </w:tc>
        <w:tc>
          <w:tcPr>
            <w:tcW w:type="dxa" w:w="3322"/>
          </w:tcPr>
          <w:p>
            <w:pPr>
              <w:pStyle w:val="null3"/>
            </w:pPr>
            <w:r>
              <w:rPr/>
              <w:t>供应商按照采购文件要求上传相应证明材料</w:t>
            </w:r>
          </w:p>
        </w:tc>
        <w:tc>
          <w:tcPr>
            <w:tcW w:type="dxa" w:w="1661"/>
          </w:tcPr>
          <w:p>
            <w:pPr>
              <w:pStyle w:val="null3"/>
            </w:pPr>
            <w:r>
              <w:rPr/>
              <w:t>开标一览表 供应商认为需要提供的其他证明材料 分项报价表 商务应答表 服务内容及服务要求应答表 投标文件封面 投标（响应）函 投标（响应）函补充</w:t>
            </w:r>
          </w:p>
        </w:tc>
      </w:tr>
      <w:tr>
        <w:tc>
          <w:tcPr>
            <w:tcW w:type="dxa" w:w="831"/>
          </w:tcPr>
          <w:p>
            <w:pPr>
              <w:pStyle w:val="null3"/>
            </w:pPr>
            <w:r>
              <w:rPr/>
              <w:t>3</w:t>
            </w:r>
          </w:p>
        </w:tc>
        <w:tc>
          <w:tcPr>
            <w:tcW w:type="dxa" w:w="2492"/>
          </w:tcPr>
          <w:p>
            <w:pPr>
              <w:pStyle w:val="null3"/>
            </w:pPr>
            <w:r>
              <w:rPr/>
              <w:t>不属于采购文件规定的无效情形</w:t>
            </w:r>
          </w:p>
        </w:tc>
        <w:tc>
          <w:tcPr>
            <w:tcW w:type="dxa" w:w="3322"/>
          </w:tcPr>
          <w:p>
            <w:pPr>
              <w:pStyle w:val="null3"/>
            </w:pPr>
            <w:r>
              <w:rPr/>
              <w:t>供应商按照采购文件要求上传相应证明材料</w:t>
            </w:r>
          </w:p>
        </w:tc>
        <w:tc>
          <w:tcPr>
            <w:tcW w:type="dxa" w:w="1661"/>
          </w:tcPr>
          <w:p>
            <w:pPr>
              <w:pStyle w:val="null3"/>
            </w:pPr>
            <w:r>
              <w:rPr/>
              <w:t>开标一览表 供应商认为需要提供的其他证明材料 分项报价表 商务应答表 服务内容及服务要求应答表</w:t>
            </w:r>
          </w:p>
        </w:tc>
      </w:tr>
      <w:tr>
        <w:tc>
          <w:tcPr>
            <w:tcW w:type="dxa" w:w="831"/>
          </w:tcPr>
          <w:p>
            <w:pPr>
              <w:pStyle w:val="null3"/>
            </w:pPr>
            <w:r>
              <w:rPr/>
              <w:t>4</w:t>
            </w:r>
          </w:p>
        </w:tc>
        <w:tc>
          <w:tcPr>
            <w:tcW w:type="dxa" w:w="2492"/>
          </w:tcPr>
          <w:p>
            <w:pPr>
              <w:pStyle w:val="null3"/>
            </w:pPr>
            <w:r>
              <w:rPr/>
              <w:t>符合采购文件3.2服务内容及服务要求中的实质性要求。（若涉及）</w:t>
            </w:r>
          </w:p>
        </w:tc>
        <w:tc>
          <w:tcPr>
            <w:tcW w:type="dxa" w:w="3322"/>
          </w:tcPr>
          <w:p>
            <w:pPr>
              <w:pStyle w:val="null3"/>
            </w:pPr>
            <w:r>
              <w:rPr/>
              <w:t>供应商按照招标文件要求上传相应证明材料</w:t>
            </w:r>
          </w:p>
        </w:tc>
        <w:tc>
          <w:tcPr>
            <w:tcW w:type="dxa" w:w="1661"/>
          </w:tcPr>
          <w:p>
            <w:pPr>
              <w:pStyle w:val="null3"/>
            </w:pPr>
            <w:r>
              <w:rPr/>
              <w:t>供应商认为需要提供的其他证明材料 服务内容及服务要求应答表</w:t>
            </w:r>
          </w:p>
        </w:tc>
      </w:tr>
      <w:tr>
        <w:tc>
          <w:tcPr>
            <w:tcW w:type="dxa" w:w="831"/>
          </w:tcPr>
          <w:p>
            <w:pPr>
              <w:pStyle w:val="null3"/>
            </w:pPr>
            <w:r>
              <w:rPr/>
              <w:t>5</w:t>
            </w:r>
          </w:p>
        </w:tc>
        <w:tc>
          <w:tcPr>
            <w:tcW w:type="dxa" w:w="2492"/>
          </w:tcPr>
          <w:p>
            <w:pPr>
              <w:pStyle w:val="null3"/>
            </w:pPr>
            <w:r>
              <w:rPr/>
              <w:t>符合采购文件3.3商务要求中的实质性要求（若涉及）</w:t>
            </w:r>
          </w:p>
        </w:tc>
        <w:tc>
          <w:tcPr>
            <w:tcW w:type="dxa" w:w="3322"/>
          </w:tcPr>
          <w:p>
            <w:pPr>
              <w:pStyle w:val="null3"/>
            </w:pPr>
            <w:r>
              <w:rPr/>
              <w:t>供应商按照招标文件要求上传相应证明材料</w:t>
            </w:r>
          </w:p>
        </w:tc>
        <w:tc>
          <w:tcPr>
            <w:tcW w:type="dxa" w:w="1661"/>
          </w:tcPr>
          <w:p>
            <w:pPr>
              <w:pStyle w:val="null3"/>
            </w:pPr>
            <w:r>
              <w:rPr/>
              <w:t>供应商认为需要提供的其他证明材料 商务应答表</w:t>
            </w:r>
          </w:p>
        </w:tc>
      </w:tr>
      <w:tr>
        <w:tc>
          <w:tcPr>
            <w:tcW w:type="dxa" w:w="831"/>
          </w:tcPr>
          <w:p>
            <w:pPr>
              <w:pStyle w:val="null3"/>
            </w:pPr>
            <w:r>
              <w:rPr/>
              <w:t>6</w:t>
            </w:r>
          </w:p>
        </w:tc>
        <w:tc>
          <w:tcPr>
            <w:tcW w:type="dxa" w:w="2492"/>
          </w:tcPr>
          <w:p>
            <w:pPr>
              <w:pStyle w:val="null3"/>
            </w:pPr>
            <w:r>
              <w:rPr/>
              <w:t>符合采购文件3.4其他要求中的实质性要求（若涉及）</w:t>
            </w:r>
          </w:p>
        </w:tc>
        <w:tc>
          <w:tcPr>
            <w:tcW w:type="dxa" w:w="3322"/>
          </w:tcPr>
          <w:p>
            <w:pPr>
              <w:pStyle w:val="null3"/>
            </w:pPr>
            <w:r>
              <w:rPr/>
              <w:t>供应商按照招标文件要求上传相应证明材料</w:t>
            </w:r>
          </w:p>
        </w:tc>
        <w:tc>
          <w:tcPr>
            <w:tcW w:type="dxa" w:w="1661"/>
          </w:tcPr>
          <w:p>
            <w:pPr>
              <w:pStyle w:val="null3"/>
            </w:pPr>
            <w:r>
              <w:rPr/>
              <w:t>供应商认为需要提供的其他证明材料 服务内容及服务要求应答表</w:t>
            </w:r>
          </w:p>
        </w:tc>
      </w:tr>
      <w:tr>
        <w:tc>
          <w:tcPr>
            <w:tcW w:type="dxa" w:w="831"/>
          </w:tcPr>
          <w:p>
            <w:pPr>
              <w:pStyle w:val="null3"/>
            </w:pPr>
            <w:r>
              <w:rPr/>
              <w:t>7</w:t>
            </w:r>
          </w:p>
        </w:tc>
        <w:tc>
          <w:tcPr>
            <w:tcW w:type="dxa" w:w="2492"/>
          </w:tcPr>
          <w:p>
            <w:pPr>
              <w:pStyle w:val="null3"/>
            </w:pPr>
            <w:r>
              <w:rPr/>
              <w:t>未载明或者载明的标的名称、数量、计量单位及其他政府采购合同实质性内容与采购文件要求不一致，且采购单位无法接受的，属于无效响应。</w:t>
            </w:r>
          </w:p>
        </w:tc>
        <w:tc>
          <w:tcPr>
            <w:tcW w:type="dxa" w:w="3322"/>
          </w:tcPr>
          <w:p>
            <w:pPr>
              <w:pStyle w:val="null3"/>
            </w:pPr>
            <w:r>
              <w:rPr/>
              <w:t>未载明或者载明的标的名称、数量、计量单位及其他政府采购合同实质性内容与采购文件要求不一致，且采购单位无法接受的，属于无效响应。</w:t>
            </w:r>
          </w:p>
        </w:tc>
        <w:tc>
          <w:tcPr>
            <w:tcW w:type="dxa" w:w="1661"/>
          </w:tcPr>
          <w:p>
            <w:pPr>
              <w:pStyle w:val="null3"/>
            </w:pPr>
            <w:r>
              <w:rPr/>
              <w:t>开标一览表 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p>
    <w:p>
      <w:pPr>
        <w:pStyle w:val="null3"/>
      </w:pPr>
    </w:p>
    <w:p>
      <w:pPr>
        <w:pStyle w:val="null3"/>
      </w:pPr>
      <w:r>
        <w:rPr/>
        <w:t>采购包1：</w:t>
      </w:r>
      <w:r>
        <w:rPr/>
        <w:t>确定3家供应商为成交候选人。</w:t>
      </w:r>
      <w:r>
        <w:rPr/>
        <w:t>确定3家供应商为中标候选人。</w:t>
      </w:r>
    </w:p>
    <w:p>
      <w:pPr>
        <w:pStyle w:val="null3"/>
        <w:ind w:firstLine="480"/>
      </w:pPr>
      <w:r>
        <w:rPr/>
        <w:t>（综合评分法适用）按投标人综合得分从高到低顺序排列，确定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ind w:firstLine="480"/>
      </w:pPr>
      <w:r>
        <w:rPr/>
        <w:t>（最低评标价法适用）按投标人投标报价从低到高顺序排列，确定中标候选人。投标报价相同的，按投标人提供的优先采购产品认证证书数量由多到少顺序排列；投标报价且提供的优先采购产品认证证书数量相同的并列。投标文件满足招标文件全部实质性要求且投标报价最低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参数要求响应</w:t>
            </w:r>
          </w:p>
        </w:tc>
        <w:tc>
          <w:tcPr>
            <w:tcW w:type="dxa" w:w="2492"/>
          </w:tcPr>
          <w:p>
            <w:pPr>
              <w:pStyle w:val="null3"/>
            </w:pPr>
            <w:r>
              <w:rPr/>
              <w:t>完全符合招标文件第三章“技术参数与性能指标及其他要求”没有负偏离得40分。 1、 “▲”条款响应得分=（投标人满足“▲”条款的数量÷“▲”条款的总数量）×10分。 2、一般性条款响应得分=（投标人满足的一般性条款的数量÷一般性条款的总数量）×30分。 注：①针对“▲”条款的响应，投标人需提供技术支撑材料（如投标产品的检测报告或向社会公开的产品彩页或产品说明书或技术白皮书），但如果招标文件“技术参数与性能指标及其他要求” 中的“▲”条款对技术支撑材料有要求的则按要求提供，否则对应条款将视为不满足。 ②针对一般性条款的响应，如果招标文件“技术参数与性能指标及其他要求”中一般性条款对技术支撑材料有要求的则按要求提供，否则对应条款将视为不满足。若未明确要求技术支撑材料的，以投标人响应为准。 ③投标人须认真核实所有技术支持资料，并对其在投标文件中提供的技术支持资料的真实性负责，并承担由此带来的一切法律责任和后果。 ④标注“★”的条款为本项目实质性要求，不作为本项评审。 ⑤以一级序号阿拉伯数字（如 “1.”“2.”“3.”……）为一项，阿拉伯数字序号下有多级序号的，以最小级别序号为1项。</w:t>
            </w:r>
          </w:p>
        </w:tc>
        <w:tc>
          <w:tcPr>
            <w:tcW w:type="dxa" w:w="831"/>
          </w:tcPr>
          <w:p>
            <w:pPr>
              <w:pStyle w:val="null3"/>
              <w:jc w:val="right"/>
            </w:pPr>
            <w:r>
              <w:rPr/>
              <w:t>40.00</w:t>
            </w:r>
          </w:p>
        </w:tc>
        <w:tc>
          <w:tcPr>
            <w:tcW w:type="dxa" w:w="831"/>
          </w:tcPr>
          <w:p>
            <w:pPr>
              <w:pStyle w:val="null3"/>
            </w:pPr>
            <w:r>
              <w:rPr/>
              <w:t>客观</w:t>
            </w:r>
          </w:p>
        </w:tc>
        <w:tc>
          <w:tcPr>
            <w:tcW w:type="dxa" w:w="1661"/>
          </w:tcPr>
          <w:p>
            <w:pPr>
              <w:pStyle w:val="null3"/>
            </w:pPr>
            <w:r>
              <w:rPr/>
              <w:t>服务内容及服务要求应答表</w:t>
            </w:r>
          </w:p>
          <w:p>
            <w:pPr>
              <w:pStyle w:val="null3"/>
            </w:pPr>
            <w:r>
              <w:rPr/>
              <w:t>供应商认为需要提供的其他证明材料</w:t>
            </w:r>
          </w:p>
        </w:tc>
      </w:tr>
      <w:tr>
        <w:tc>
          <w:tcPr>
            <w:tcW w:type="dxa" w:w="831"/>
            <w:vMerge/>
          </w:tcPr>
          <w:p/>
        </w:tc>
        <w:tc>
          <w:tcPr>
            <w:tcW w:type="dxa" w:w="1661"/>
          </w:tcPr>
          <w:p>
            <w:pPr>
              <w:pStyle w:val="null3"/>
            </w:pPr>
            <w:r>
              <w:rPr/>
              <w:t>技术服务及实施方案</w:t>
            </w:r>
          </w:p>
        </w:tc>
        <w:tc>
          <w:tcPr>
            <w:tcW w:type="dxa" w:w="2492"/>
          </w:tcPr>
          <w:p>
            <w:pPr>
              <w:pStyle w:val="null3"/>
            </w:pPr>
            <w:r>
              <w:rPr/>
              <w:t>1、根据供应商提供的技术服务方案（内容包括但不限于①视频图像共享平台服务、②视频图像信息数据库服务、③视频图像解析平台服务、④视频图像信息网络安全保障、边界安全、终端安全、网络资源池）进行综合评审。 完全满足招标文件要求的得12分 ；方案中每有一项内容要素存在缺失的扣3分，方案内容要素中每存在一处缺陷扣1.5分，单项内容要素扣减分值不超过3分。扣完为止 2、根据供应商提供的实施方案（内容包括但不限于①实施队伍人员结构、②实施计划及工期、③质量保障措施、④验收计划等要素）进行综合评审。 完全满足招标文件要求的得8分 ；方案中每有一项内容要素存在缺失的扣2分，方案内容要素中每存在一处缺陷扣1分，单项内容要素扣减分值不超过2分。扣完为止。 说明：缺陷是指存在项目名称错误、地点区域错误、内容与本项目需求无关、方案内容矛盾或表述前后不一致、仅有框架或标题、适用的标准（方法）错误、明显复制其他项目内容等任意一种情形【编制于第六章响应文件格式-《供应商认为需要提供的其他证明材料》】</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供应商认为需要提供的其他证明材料</w:t>
            </w:r>
          </w:p>
        </w:tc>
      </w:tr>
      <w:tr>
        <w:tc>
          <w:tcPr>
            <w:tcW w:type="dxa" w:w="831"/>
            <w:vMerge/>
          </w:tcPr>
          <w:p/>
        </w:tc>
        <w:tc>
          <w:tcPr>
            <w:tcW w:type="dxa" w:w="1661"/>
          </w:tcPr>
          <w:p>
            <w:pPr>
              <w:pStyle w:val="null3"/>
            </w:pPr>
            <w:r>
              <w:rPr/>
              <w:t>售后与运维方案及培训方案</w:t>
            </w:r>
          </w:p>
        </w:tc>
        <w:tc>
          <w:tcPr>
            <w:tcW w:type="dxa" w:w="2492"/>
          </w:tcPr>
          <w:p>
            <w:pPr>
              <w:pStyle w:val="null3"/>
            </w:pPr>
            <w:r>
              <w:rPr/>
              <w:t>1、根据供应商提供的售后与运维方案（内容包括但不限于①售后具体内容、②售后人员结构、③响应时间、④巡检计划、⑤应急及重大活动保障等要素）进行综合评审。 完全满足招标文件要求的得10分 ；方案中每有一项内容要素存在缺失的扣2分，方案内容要素中每存在一处缺陷扣1分，单项内容要素扣减分值不超过2分。扣完为止。 2、根据供应商提供的培训方案（内容包括但不限于①培训体系、②培训目标、③培训任务、④培训计划、⑤培训组织等要素）进行综合评审。 完全满足招标文件要求的得10分 ；方案中每有一项内容要素存在缺失的扣2分，方案内容要素中每存在一处缺陷扣1分，单项内容要素扣减分值不超过2分。扣完为止。 注：缺陷是指存在项目名称错误、地点区域错误、内容与本项目需求无关、方案内容矛盾或表述前后不一致、仅有框架或标题、适用的标准（方法）错误、明显复制其他项目内容等任意一种情形 【编制于第六章响应文件格式-《供应商认为需要提供的其他证明材料》】</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供应商认为需要提供的其他证明材料</w:t>
            </w:r>
          </w:p>
        </w:tc>
      </w:tr>
      <w:tr>
        <w:tc>
          <w:tcPr>
            <w:tcW w:type="dxa" w:w="831"/>
            <w:vMerge/>
          </w:tcPr>
          <w:p/>
        </w:tc>
        <w:tc>
          <w:tcPr>
            <w:tcW w:type="dxa" w:w="1661"/>
          </w:tcPr>
          <w:p>
            <w:pPr>
              <w:pStyle w:val="null3"/>
            </w:pPr>
            <w:r>
              <w:rPr/>
              <w:t>履约经验</w:t>
            </w:r>
          </w:p>
        </w:tc>
        <w:tc>
          <w:tcPr>
            <w:tcW w:type="dxa" w:w="2492"/>
          </w:tcPr>
          <w:p>
            <w:pPr>
              <w:pStyle w:val="null3"/>
            </w:pPr>
            <w:r>
              <w:rPr/>
              <w:t>供应商自2020年10月1日至投标截止日【以签订合同（协议）时间为准】具有的信息化项目经验，提供1个得1分，最多得3分，未提供或者不满足不得分。 说明：1.提供项目合同（协议）或中标（成交）通知书扫描件。 【编制于第六章响应文件格式-《供应商认为需要提供的其他证明材料》】</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供应商认为需要提供的其他证明材料</w:t>
            </w:r>
          </w:p>
        </w:tc>
      </w:tr>
      <w:tr>
        <w:tc>
          <w:tcPr>
            <w:tcW w:type="dxa" w:w="831"/>
            <w:vMerge/>
          </w:tcPr>
          <w:p/>
        </w:tc>
        <w:tc>
          <w:tcPr>
            <w:tcW w:type="dxa" w:w="1661"/>
          </w:tcPr>
          <w:p>
            <w:pPr>
              <w:pStyle w:val="null3"/>
            </w:pPr>
            <w:r>
              <w:rPr/>
              <w:t>人员配置</w:t>
            </w:r>
          </w:p>
        </w:tc>
        <w:tc>
          <w:tcPr>
            <w:tcW w:type="dxa" w:w="2492"/>
          </w:tcPr>
          <w:p>
            <w:pPr>
              <w:pStyle w:val="null3"/>
            </w:pPr>
            <w:r>
              <w:rPr/>
              <w:t>1.供应商拟派本项目的项目总负责人(1人)具有信息系统项目管理师证书的得2分(提供人员相关证书扫描件及在职证明扫描件)。 2.供应商拟派本项目的设计负责人(1人)具有软件设计师证书的得2分(提供人员相关证书扫描件及在职证明扫描件)。 3.供应商拟派本项目的团队成员中具有以下专业资格(提供人员相关证书扫描件及在职证明扫描件)： ①具有系统集成项目管理工程师的得1分； ②具有信息系统项目管理师证书的得2分； 注：以上人员不得重复计分，如有重复按最高得分计分一次。【编制于第六章响应文件格式-《供应商认为需要提供的其他证明材料》】</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供应商认为需要提供的其他证明材料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10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废标后，代理机构将在四川政府采购网上公告。对于评标过程中废标的采购项目，评标委员会应当对招标文件是否存在倾向性和歧视性、是否存在不合理条款进行论证，并出具书面论证意见。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p>
    <w:p>
      <w:pPr>
        <w:pStyle w:val="null3"/>
      </w:pP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四、根据确定的中标供应商，代理机构在四川政府采购网上发布中标结果公告，通过项目电子化交易系统向中标供应商发出中标通知书。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（五）在评审过程中和评审结束后，不得记录、复制或带走任何评审资料，除因履行本规程第十三条第（六）项规定的义务外，不得向外界透露评审内容。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详见附件：供应商认为需要提供的其他证明材料</w:t>
      </w:r>
    </w:p>
    <w:p>
      <w:pPr>
        <w:pStyle w:val="null3"/>
        <w:ind w:firstLine="960"/>
      </w:pPr>
      <w:r>
        <w:rPr/>
        <w:t>详见附件：投标（响应）函补充</w:t>
      </w:r>
    </w:p>
    <w:p>
      <w:pPr>
        <w:pStyle w:val="null3"/>
      </w:pPr>
    </w:p>
    <w:p>
      <w:pPr>
        <w:pStyle w:val="null3"/>
      </w:pPr>
      <w:r>
        <w:rPr/>
        <w:t xml:space="preserve"> </w:t>
      </w:r>
    </w:p>
    <w:p>
      <w:pPr>
        <w:pStyle w:val="null3"/>
        <w:jc w:val="center"/>
        <w:outlineLvl w:val="1"/>
      </w:pPr>
      <w:r>
        <w:rPr>
          <w:b/>
          <w:sz w:val="36"/>
        </w:rPr>
        <w:t>第7章 拟签订采购合同文本</w:t>
      </w:r>
    </w:p>
    <w:p>
      <w:pPr>
        <w:pStyle w:val="null3"/>
      </w:pPr>
    </w:p>
    <w:p>
      <w:pPr>
        <w:pStyle w:val="null3"/>
      </w:pPr>
    </w:p>
    <w:p>
      <w:pPr>
        <w:pStyle w:val="null3"/>
      </w:pPr>
      <w:r>
        <w:rPr/>
        <w:t>详见附件：合同.docx</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